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0F431">
      <w:pPr>
        <w:keepNext/>
        <w:widowControl/>
        <w:spacing w:before="240" w:after="160" w:line="360" w:lineRule="auto"/>
        <w:ind w:firstLineChars="200"/>
        <w:jc w:val="center"/>
        <w:outlineLvl w:val="0"/>
        <w:rPr>
          <w:rFonts w:ascii="Times New Roman" w:hAnsi="Times New Roman" w:eastAsia="宋体" w:cs="Times New Roman"/>
          <w:color w:val="000000" w:themeColor="text1"/>
          <w:kern w:val="0"/>
          <w:sz w:val="24"/>
          <w14:textFill>
            <w14:solidFill>
              <w14:schemeClr w14:val="tx1"/>
            </w14:solidFill>
          </w14:textFill>
        </w:rPr>
      </w:pPr>
      <w:bookmarkStart w:id="0" w:name="_Toc501430996"/>
      <w:bookmarkStart w:id="1" w:name="_Toc1254507244"/>
      <w:bookmarkStart w:id="2" w:name="_Toc82358837"/>
      <w:bookmarkStart w:id="3" w:name="_Toc1410593735"/>
      <w:bookmarkStart w:id="4" w:name="_Toc82720744"/>
      <w:bookmarkStart w:id="5" w:name="_Toc7481"/>
      <w:bookmarkStart w:id="6" w:name="_Toc1370682693"/>
      <w:bookmarkStart w:id="7" w:name="_Toc28559"/>
      <w:bookmarkStart w:id="8" w:name="_Toc208437025"/>
      <w:bookmarkStart w:id="9" w:name="_Toc16339"/>
      <w:r>
        <w:rPr>
          <w:rFonts w:ascii="Times New Roman" w:hAnsi="Times New Roman" w:eastAsia="微软雅黑" w:cs="Times New Roman"/>
          <w:b/>
          <w:bCs/>
          <w:caps/>
          <w:color w:val="000000" w:themeColor="text1"/>
          <w:kern w:val="28"/>
          <w:sz w:val="28"/>
          <w:szCs w:val="28"/>
          <w14:textFill>
            <w14:solidFill>
              <w14:schemeClr w14:val="tx1"/>
            </w14:solidFill>
          </w14:textFill>
        </w:rPr>
        <w:t>Clin</w:t>
      </w:r>
      <w:bookmarkEnd w:id="0"/>
      <w:r>
        <w:rPr>
          <w:rFonts w:ascii="Times New Roman" w:hAnsi="Times New Roman" w:eastAsia="微软雅黑" w:cs="Times New Roman"/>
          <w:b/>
          <w:bCs/>
          <w:caps/>
          <w:color w:val="000000" w:themeColor="text1"/>
          <w:kern w:val="28"/>
          <w:sz w:val="28"/>
          <w:szCs w:val="28"/>
          <w14:textFill>
            <w14:solidFill>
              <w14:schemeClr w14:val="tx1"/>
            </w14:solidFill>
          </w14:textFill>
        </w:rPr>
        <w:t>ical research cover page</w:t>
      </w:r>
      <w:bookmarkEnd w:id="1"/>
      <w:bookmarkEnd w:id="2"/>
      <w:bookmarkEnd w:id="3"/>
      <w:bookmarkEnd w:id="4"/>
      <w:bookmarkEnd w:id="5"/>
      <w:bookmarkEnd w:id="6"/>
      <w:bookmarkEnd w:id="7"/>
      <w:bookmarkEnd w:id="8"/>
      <w:bookmarkEnd w:id="9"/>
    </w:p>
    <w:tbl>
      <w:tblPr>
        <w:tblStyle w:val="15"/>
        <w:tblW w:w="9766" w:type="dxa"/>
        <w:tblInd w:w="0" w:type="dxa"/>
        <w:tblLayout w:type="fixed"/>
        <w:tblCellMar>
          <w:top w:w="0" w:type="dxa"/>
          <w:left w:w="108" w:type="dxa"/>
          <w:bottom w:w="0" w:type="dxa"/>
          <w:right w:w="108" w:type="dxa"/>
        </w:tblCellMar>
      </w:tblPr>
      <w:tblGrid>
        <w:gridCol w:w="2411"/>
        <w:gridCol w:w="7355"/>
      </w:tblGrid>
      <w:tr w14:paraId="409550C1">
        <w:tc>
          <w:tcPr>
            <w:tcW w:w="2411" w:type="dxa"/>
          </w:tcPr>
          <w:p w14:paraId="2C34BE44">
            <w:pPr>
              <w:widowControl/>
              <w:suppressAutoHyphens/>
              <w:spacing w:before="120" w:after="120" w:line="360" w:lineRule="auto"/>
              <w:jc w:val="left"/>
              <w:rPr>
                <w:rFonts w:ascii="Times New Roman" w:hAnsi="Times New Roman" w:eastAsia="宋体" w:cs="Times New Roman"/>
                <w:b/>
                <w:color w:val="000000" w:themeColor="text1"/>
                <w:kern w:val="0"/>
                <w:sz w:val="28"/>
                <w:szCs w:val="28"/>
                <w14:textFill>
                  <w14:solidFill>
                    <w14:schemeClr w14:val="tx1"/>
                  </w14:solidFill>
                </w14:textFill>
              </w:rPr>
            </w:pPr>
            <w:bookmarkStart w:id="10" w:name="_Hlk80025256"/>
            <w:r>
              <w:rPr>
                <w:rFonts w:ascii="Times New Roman" w:hAnsi="Times New Roman" w:eastAsia="微软雅黑" w:cs="Times New Roman"/>
                <w:b/>
                <w:color w:val="000000" w:themeColor="text1"/>
                <w:kern w:val="0"/>
                <w:sz w:val="28"/>
                <w:szCs w:val="28"/>
                <w14:textFill>
                  <w14:solidFill>
                    <w14:schemeClr w14:val="tx1"/>
                  </w14:solidFill>
                </w14:textFill>
              </w:rPr>
              <w:t>Protocol title:</w:t>
            </w:r>
            <w:bookmarkEnd w:id="10"/>
          </w:p>
        </w:tc>
        <w:tc>
          <w:tcPr>
            <w:tcW w:w="7355" w:type="dxa"/>
          </w:tcPr>
          <w:p w14:paraId="7E73EE99">
            <w:pPr>
              <w:widowControl/>
              <w:suppressAutoHyphens/>
              <w:spacing w:before="120" w:line="360" w:lineRule="auto"/>
              <w:jc w:val="left"/>
              <w:rPr>
                <w:rFonts w:hint="default" w:ascii="Times New Roman" w:hAnsi="Times New Roman" w:eastAsia="宋体" w:cs="Times New Roman"/>
                <w:color w:val="000000" w:themeColor="text1"/>
                <w:sz w:val="28"/>
                <w:szCs w:val="28"/>
                <w:lang w:val="en-US"/>
                <w14:textFill>
                  <w14:solidFill>
                    <w14:schemeClr w14:val="tx1"/>
                  </w14:solidFill>
                </w14:textFill>
              </w:rPr>
            </w:pPr>
            <w:r>
              <w:rPr>
                <w:rFonts w:ascii="Times New Roman" w:hAnsi="Times New Roman" w:cs="Times New Roman"/>
                <w:color w:val="000000" w:themeColor="text1"/>
                <w:kern w:val="0"/>
                <w:sz w:val="28"/>
                <w:szCs w:val="28"/>
                <w14:textFill>
                  <w14:solidFill>
                    <w14:schemeClr w14:val="tx1"/>
                  </w14:solidFill>
                </w14:textFill>
              </w:rPr>
              <w:t xml:space="preserve">Efficacy and Safety of </w:t>
            </w:r>
            <w:r>
              <w:rPr>
                <w:rFonts w:hint="default" w:ascii="Times New Roman" w:hAnsi="Times New Roman" w:cs="Times New Roman"/>
                <w:color w:val="000000" w:themeColor="text1"/>
                <w:kern w:val="0"/>
                <w:sz w:val="28"/>
                <w:szCs w:val="28"/>
                <w:lang w:val="en-US"/>
                <w14:textFill>
                  <w14:solidFill>
                    <w14:schemeClr w14:val="tx1"/>
                  </w14:solidFill>
                </w14:textFill>
              </w:rPr>
              <w:t>C</w:t>
            </w:r>
            <w:r>
              <w:rPr>
                <w:rFonts w:ascii="Times New Roman" w:hAnsi="Times New Roman" w:cs="Times New Roman"/>
                <w:color w:val="000000" w:themeColor="text1"/>
                <w:kern w:val="0"/>
                <w:sz w:val="28"/>
                <w:szCs w:val="28"/>
                <w14:textFill>
                  <w14:solidFill>
                    <w14:schemeClr w14:val="tx1"/>
                  </w14:solidFill>
                </w14:textFill>
              </w:rPr>
              <w:t xml:space="preserve">adonilimab (AK104) as Induction and Consolidation Therapy in </w:t>
            </w:r>
            <w:r>
              <w:rPr>
                <w:rFonts w:ascii="Times New Roman" w:hAnsi="Times New Roman" w:cs="Times New Roman"/>
                <w:color w:val="000000" w:themeColor="text1"/>
                <w:kern w:val="0"/>
                <w:sz w:val="28"/>
                <w:szCs w:val="28"/>
                <w:lang w:val="en-US"/>
                <w14:textFill>
                  <w14:solidFill>
                    <w14:schemeClr w14:val="tx1"/>
                  </w14:solidFill>
                </w14:textFill>
              </w:rPr>
              <w:t xml:space="preserve">stage III </w:t>
            </w:r>
            <w:r>
              <w:rPr>
                <w:rFonts w:ascii="Times New Roman" w:hAnsi="Times New Roman" w:cs="Times New Roman"/>
                <w:color w:val="000000" w:themeColor="text1"/>
                <w:kern w:val="0"/>
                <w:sz w:val="28"/>
                <w:szCs w:val="28"/>
                <w14:textFill>
                  <w14:solidFill>
                    <w14:schemeClr w14:val="tx1"/>
                  </w14:solidFill>
                </w14:textFill>
              </w:rPr>
              <w:t xml:space="preserve">Unresectable Non-Small Cell Lung Cancer </w:t>
            </w:r>
            <w:r>
              <w:rPr>
                <w:rFonts w:hint="default" w:ascii="Times New Roman" w:hAnsi="Times New Roman" w:cs="Times New Roman"/>
                <w:color w:val="000000" w:themeColor="text1"/>
                <w:kern w:val="0"/>
                <w:sz w:val="28"/>
                <w:szCs w:val="28"/>
                <w:lang w:val="en-US"/>
                <w14:textFill>
                  <w14:solidFill>
                    <w14:schemeClr w14:val="tx1"/>
                  </w14:solidFill>
                </w14:textFill>
              </w:rPr>
              <w:t>R</w:t>
            </w:r>
            <w:r>
              <w:rPr>
                <w:rFonts w:hint="eastAsia" w:ascii="Times New Roman" w:hAnsi="Times New Roman" w:cs="Times New Roman"/>
                <w:color w:val="000000" w:themeColor="text1"/>
                <w:kern w:val="0"/>
                <w:sz w:val="28"/>
                <w:szCs w:val="28"/>
                <w14:textFill>
                  <w14:solidFill>
                    <w14:schemeClr w14:val="tx1"/>
                  </w14:solidFill>
                </w14:textFill>
              </w:rPr>
              <w:t xml:space="preserve">eceiving </w:t>
            </w:r>
            <w:r>
              <w:rPr>
                <w:rFonts w:hint="default" w:ascii="Times New Roman" w:hAnsi="Times New Roman" w:cs="Times New Roman"/>
                <w:color w:val="000000" w:themeColor="text1"/>
                <w:kern w:val="0"/>
                <w:sz w:val="28"/>
                <w:szCs w:val="28"/>
                <w:lang w:val="en-US"/>
                <w14:textFill>
                  <w14:solidFill>
                    <w14:schemeClr w14:val="tx1"/>
                  </w14:solidFill>
                </w14:textFill>
              </w:rPr>
              <w:t>C</w:t>
            </w:r>
            <w:r>
              <w:rPr>
                <w:rFonts w:hint="eastAsia" w:ascii="Times New Roman" w:hAnsi="Times New Roman" w:cs="Times New Roman"/>
                <w:color w:val="000000" w:themeColor="text1"/>
                <w:kern w:val="0"/>
                <w:sz w:val="28"/>
                <w:szCs w:val="28"/>
                <w14:textFill>
                  <w14:solidFill>
                    <w14:schemeClr w14:val="tx1"/>
                  </w14:solidFill>
                </w14:textFill>
              </w:rPr>
              <w:t xml:space="preserve">oncurrent </w:t>
            </w:r>
            <w:r>
              <w:rPr>
                <w:rFonts w:hint="default" w:ascii="Times New Roman" w:hAnsi="Times New Roman" w:cs="Times New Roman"/>
                <w:color w:val="000000" w:themeColor="text1"/>
                <w:kern w:val="0"/>
                <w:sz w:val="28"/>
                <w:szCs w:val="28"/>
                <w:lang w:val="en-US"/>
                <w14:textFill>
                  <w14:solidFill>
                    <w14:schemeClr w14:val="tx1"/>
                  </w14:solidFill>
                </w14:textFill>
              </w:rPr>
              <w:t>C</w:t>
            </w:r>
            <w:r>
              <w:rPr>
                <w:rFonts w:hint="eastAsia" w:ascii="Times New Roman" w:hAnsi="Times New Roman" w:cs="Times New Roman"/>
                <w:color w:val="000000" w:themeColor="text1"/>
                <w:kern w:val="0"/>
                <w:sz w:val="28"/>
                <w:szCs w:val="28"/>
                <w14:textFill>
                  <w14:solidFill>
                    <w14:schemeClr w14:val="tx1"/>
                  </w14:solidFill>
                </w14:textFill>
              </w:rPr>
              <w:t>hemoradiation</w:t>
            </w:r>
            <w:r>
              <w:rPr>
                <w:rFonts w:ascii="Times New Roman" w:hAnsi="Times New Roman" w:cs="Times New Roman"/>
                <w:color w:val="000000" w:themeColor="text1"/>
                <w:kern w:val="0"/>
                <w:sz w:val="28"/>
                <w:szCs w:val="28"/>
                <w14:textFill>
                  <w14:solidFill>
                    <w14:schemeClr w14:val="tx1"/>
                  </w14:solidFill>
                </w14:textFill>
              </w:rPr>
              <w:t>：</w:t>
            </w:r>
            <w:r>
              <w:rPr>
                <w:rFonts w:ascii="Times New Roman" w:hAnsi="Times New Roman" w:eastAsia="微软雅黑" w:cs="Times New Roman"/>
                <w:color w:val="000000" w:themeColor="text1"/>
                <w:kern w:val="0"/>
                <w:sz w:val="28"/>
                <w:szCs w:val="28"/>
                <w14:textFill>
                  <w14:solidFill>
                    <w14:schemeClr w14:val="tx1"/>
                  </w14:solidFill>
                </w14:textFill>
              </w:rPr>
              <w:t>A Prospective, Phase II, Single-Arm Study</w:t>
            </w:r>
          </w:p>
        </w:tc>
      </w:tr>
      <w:tr w14:paraId="22470CEB">
        <w:tc>
          <w:tcPr>
            <w:tcW w:w="2411" w:type="dxa"/>
          </w:tcPr>
          <w:p w14:paraId="3B47C89E">
            <w:pPr>
              <w:widowControl/>
              <w:suppressAutoHyphens/>
              <w:spacing w:before="120" w:after="120" w:line="360" w:lineRule="auto"/>
              <w:jc w:val="left"/>
              <w:rPr>
                <w:rFonts w:ascii="Times New Roman" w:hAnsi="Times New Roman" w:eastAsia="宋体" w:cs="Times New Roman"/>
                <w:b/>
                <w:color w:val="000000" w:themeColor="text1"/>
                <w:kern w:val="0"/>
                <w:sz w:val="28"/>
                <w:szCs w:val="28"/>
                <w14:textFill>
                  <w14:solidFill>
                    <w14:schemeClr w14:val="tx1"/>
                  </w14:solidFill>
                </w14:textFill>
              </w:rPr>
            </w:pPr>
            <w:r>
              <w:rPr>
                <w:rFonts w:ascii="Times New Roman" w:hAnsi="Times New Roman" w:eastAsia="微软雅黑" w:cs="Times New Roman"/>
                <w:b/>
                <w:color w:val="000000" w:themeColor="text1"/>
                <w:kern w:val="0"/>
                <w:sz w:val="28"/>
                <w:szCs w:val="28"/>
                <w14:textFill>
                  <w14:solidFill>
                    <w14:schemeClr w14:val="tx1"/>
                  </w14:solidFill>
                </w14:textFill>
              </w:rPr>
              <w:t>Protocol No.:</w:t>
            </w:r>
          </w:p>
        </w:tc>
        <w:tc>
          <w:tcPr>
            <w:tcW w:w="7355" w:type="dxa"/>
          </w:tcPr>
          <w:p w14:paraId="4BE81A55">
            <w:pPr>
              <w:widowControl/>
              <w:suppressAutoHyphens/>
              <w:spacing w:before="120" w:line="360" w:lineRule="auto"/>
              <w:jc w:val="left"/>
              <w:rPr>
                <w:rFonts w:ascii="Times New Roman" w:hAnsi="Times New Roman" w:eastAsia="宋体" w:cs="Times New Roman"/>
                <w:color w:val="000000" w:themeColor="text1"/>
                <w:kern w:val="0"/>
                <w:sz w:val="28"/>
                <w:szCs w:val="28"/>
                <w14:textFill>
                  <w14:solidFill>
                    <w14:schemeClr w14:val="tx1"/>
                  </w14:solidFill>
                </w14:textFill>
              </w:rPr>
            </w:pPr>
            <w:r>
              <w:rPr>
                <w:rFonts w:ascii="Times New Roman" w:hAnsi="Times New Roman" w:eastAsia="微软雅黑" w:cs="Times New Roman"/>
                <w:color w:val="000000" w:themeColor="text1"/>
                <w:kern w:val="0"/>
                <w:sz w:val="28"/>
                <w:szCs w:val="28"/>
                <w14:textFill>
                  <w14:solidFill>
                    <w14:schemeClr w14:val="tx1"/>
                  </w14:solidFill>
                </w14:textFill>
              </w:rPr>
              <w:t>Lung-AK104</w:t>
            </w:r>
          </w:p>
        </w:tc>
      </w:tr>
      <w:tr w14:paraId="08B9B28D">
        <w:tc>
          <w:tcPr>
            <w:tcW w:w="2411" w:type="dxa"/>
          </w:tcPr>
          <w:p w14:paraId="1AC74547">
            <w:pPr>
              <w:widowControl/>
              <w:suppressAutoHyphens/>
              <w:spacing w:before="120" w:after="120" w:line="360" w:lineRule="auto"/>
              <w:jc w:val="left"/>
              <w:rPr>
                <w:rFonts w:ascii="Times New Roman" w:hAnsi="Times New Roman" w:eastAsia="宋体" w:cs="Times New Roman"/>
                <w:b/>
                <w:color w:val="000000" w:themeColor="text1"/>
                <w:kern w:val="0"/>
                <w:sz w:val="28"/>
                <w:szCs w:val="28"/>
                <w14:textFill>
                  <w14:solidFill>
                    <w14:schemeClr w14:val="tx1"/>
                  </w14:solidFill>
                </w14:textFill>
              </w:rPr>
            </w:pPr>
            <w:r>
              <w:rPr>
                <w:rFonts w:ascii="Times New Roman" w:hAnsi="Times New Roman" w:eastAsia="微软雅黑" w:cs="Times New Roman"/>
                <w:b/>
                <w:color w:val="000000" w:themeColor="text1"/>
                <w:kern w:val="0"/>
                <w:sz w:val="28"/>
                <w:szCs w:val="28"/>
                <w14:textFill>
                  <w14:solidFill>
                    <w14:schemeClr w14:val="tx1"/>
                  </w14:solidFill>
                </w14:textFill>
              </w:rPr>
              <w:t>Study phase：</w:t>
            </w:r>
          </w:p>
        </w:tc>
        <w:tc>
          <w:tcPr>
            <w:tcW w:w="7355" w:type="dxa"/>
            <w:vAlign w:val="center"/>
          </w:tcPr>
          <w:p w14:paraId="69B96738">
            <w:pPr>
              <w:widowControl/>
              <w:suppressAutoHyphens/>
              <w:spacing w:before="120" w:line="360" w:lineRule="auto"/>
              <w:jc w:val="left"/>
              <w:rPr>
                <w:rFonts w:ascii="Times New Roman" w:hAnsi="Times New Roman" w:eastAsia="宋体" w:cs="Times New Roman"/>
                <w:color w:val="000000" w:themeColor="text1"/>
                <w:kern w:val="0"/>
                <w:sz w:val="28"/>
                <w:szCs w:val="28"/>
                <w14:textFill>
                  <w14:solidFill>
                    <w14:schemeClr w14:val="tx1"/>
                  </w14:solidFill>
                </w14:textFill>
              </w:rPr>
            </w:pPr>
            <w:r>
              <w:rPr>
                <w:rFonts w:ascii="Times New Roman" w:hAnsi="Times New Roman" w:eastAsia="宋体" w:cs="Times New Roman"/>
                <w:color w:val="000000" w:themeColor="text1"/>
                <w:kern w:val="0"/>
                <w:sz w:val="28"/>
                <w:szCs w:val="28"/>
                <w14:textFill>
                  <w14:solidFill>
                    <w14:schemeClr w14:val="tx1"/>
                  </w14:solidFill>
                </w14:textFill>
              </w:rPr>
              <w:t>Phase II</w:t>
            </w:r>
          </w:p>
        </w:tc>
      </w:tr>
      <w:tr w14:paraId="4FFA6ADD">
        <w:tc>
          <w:tcPr>
            <w:tcW w:w="2411" w:type="dxa"/>
          </w:tcPr>
          <w:p w14:paraId="57039194">
            <w:pPr>
              <w:widowControl/>
              <w:suppressAutoHyphens/>
              <w:spacing w:before="120" w:after="120" w:line="360" w:lineRule="auto"/>
              <w:jc w:val="left"/>
              <w:rPr>
                <w:rFonts w:ascii="Times New Roman" w:hAnsi="Times New Roman" w:eastAsia="宋体" w:cs="Times New Roman"/>
                <w:b/>
                <w:color w:val="000000" w:themeColor="text1"/>
                <w:kern w:val="0"/>
                <w:sz w:val="28"/>
                <w:szCs w:val="28"/>
                <w14:textFill>
                  <w14:solidFill>
                    <w14:schemeClr w14:val="tx1"/>
                  </w14:solidFill>
                </w14:textFill>
              </w:rPr>
            </w:pPr>
            <w:r>
              <w:rPr>
                <w:rFonts w:ascii="Times New Roman" w:hAnsi="Times New Roman" w:eastAsia="微软雅黑" w:cs="Times New Roman"/>
                <w:b/>
                <w:color w:val="000000" w:themeColor="text1"/>
                <w:kern w:val="0"/>
                <w:sz w:val="28"/>
                <w:szCs w:val="28"/>
                <w14:textFill>
                  <w14:solidFill>
                    <w14:schemeClr w14:val="tx1"/>
                  </w14:solidFill>
                </w14:textFill>
              </w:rPr>
              <w:t>Test drug:</w:t>
            </w:r>
          </w:p>
        </w:tc>
        <w:tc>
          <w:tcPr>
            <w:tcW w:w="7355" w:type="dxa"/>
            <w:vAlign w:val="center"/>
          </w:tcPr>
          <w:p w14:paraId="3EF4CA1C">
            <w:pPr>
              <w:widowControl/>
              <w:suppressAutoHyphens/>
              <w:spacing w:before="120" w:line="360" w:lineRule="auto"/>
              <w:jc w:val="left"/>
              <w:rPr>
                <w:rFonts w:ascii="Times New Roman" w:hAnsi="Times New Roman" w:eastAsia="宋体" w:cs="Times New Roman"/>
                <w:color w:val="000000" w:themeColor="text1"/>
                <w:kern w:val="0"/>
                <w:sz w:val="28"/>
                <w:szCs w:val="28"/>
                <w14:textFill>
                  <w14:solidFill>
                    <w14:schemeClr w14:val="tx1"/>
                  </w14:solidFill>
                </w14:textFill>
              </w:rPr>
            </w:pPr>
            <w:r>
              <w:rPr>
                <w:rFonts w:hint="eastAsia" w:ascii="Times New Roman" w:hAnsi="Times New Roman" w:eastAsia="微软雅黑" w:cs="Times New Roman"/>
                <w:color w:val="000000" w:themeColor="text1"/>
                <w:kern w:val="0"/>
                <w:sz w:val="28"/>
                <w:szCs w:val="28"/>
                <w14:textFill>
                  <w14:solidFill>
                    <w14:schemeClr w14:val="tx1"/>
                  </w14:solidFill>
                </w14:textFill>
              </w:rPr>
              <w:t>C</w:t>
            </w:r>
            <w:r>
              <w:rPr>
                <w:rFonts w:ascii="Times New Roman" w:hAnsi="Times New Roman" w:eastAsia="微软雅黑" w:cs="Times New Roman"/>
                <w:color w:val="000000" w:themeColor="text1"/>
                <w:kern w:val="0"/>
                <w:sz w:val="28"/>
                <w:szCs w:val="28"/>
                <w14:textFill>
                  <w14:solidFill>
                    <w14:schemeClr w14:val="tx1"/>
                  </w14:solidFill>
                </w14:textFill>
              </w:rPr>
              <w:t>adonilimab (AK104)</w:t>
            </w:r>
          </w:p>
        </w:tc>
      </w:tr>
      <w:tr w14:paraId="51F79124">
        <w:tc>
          <w:tcPr>
            <w:tcW w:w="2411" w:type="dxa"/>
          </w:tcPr>
          <w:p w14:paraId="54E28031">
            <w:pPr>
              <w:widowControl/>
              <w:suppressAutoHyphens/>
              <w:spacing w:before="120" w:after="120" w:line="360" w:lineRule="auto"/>
              <w:jc w:val="left"/>
              <w:rPr>
                <w:rFonts w:ascii="Times New Roman" w:hAnsi="Times New Roman" w:eastAsia="宋体" w:cs="Times New Roman"/>
                <w:b/>
                <w:color w:val="000000" w:themeColor="text1"/>
                <w:kern w:val="0"/>
                <w:sz w:val="28"/>
                <w:szCs w:val="28"/>
                <w14:textFill>
                  <w14:solidFill>
                    <w14:schemeClr w14:val="tx1"/>
                  </w14:solidFill>
                </w14:textFill>
              </w:rPr>
            </w:pPr>
            <w:r>
              <w:rPr>
                <w:rFonts w:ascii="Times New Roman" w:hAnsi="Times New Roman" w:eastAsia="微软雅黑" w:cs="Times New Roman"/>
                <w:b/>
                <w:color w:val="000000" w:themeColor="text1"/>
                <w:kern w:val="0"/>
                <w:sz w:val="28"/>
                <w:szCs w:val="28"/>
                <w14:textFill>
                  <w14:solidFill>
                    <w14:schemeClr w14:val="tx1"/>
                  </w14:solidFill>
                </w14:textFill>
              </w:rPr>
              <w:t>Diseases:</w:t>
            </w:r>
          </w:p>
        </w:tc>
        <w:tc>
          <w:tcPr>
            <w:tcW w:w="7355" w:type="dxa"/>
            <w:vAlign w:val="center"/>
          </w:tcPr>
          <w:p w14:paraId="105CC4D3">
            <w:pPr>
              <w:widowControl/>
              <w:suppressAutoHyphens/>
              <w:spacing w:before="120" w:line="360" w:lineRule="auto"/>
              <w:jc w:val="left"/>
              <w:rPr>
                <w:rFonts w:ascii="Times New Roman" w:hAnsi="Times New Roman" w:eastAsia="宋体" w:cs="Times New Roman"/>
                <w:color w:val="000000" w:themeColor="text1"/>
                <w:kern w:val="0"/>
                <w:sz w:val="28"/>
                <w:szCs w:val="28"/>
                <w14:textFill>
                  <w14:solidFill>
                    <w14:schemeClr w14:val="tx1"/>
                  </w14:solidFill>
                </w14:textFill>
              </w:rPr>
            </w:pPr>
            <w:r>
              <w:rPr>
                <w:rFonts w:ascii="Times New Roman" w:hAnsi="Times New Roman" w:eastAsia="微软雅黑" w:cs="Times New Roman"/>
                <w:color w:val="000000" w:themeColor="text1"/>
                <w:kern w:val="0"/>
                <w:sz w:val="28"/>
                <w:szCs w:val="28"/>
                <w:lang w:val="en-US"/>
                <w14:textFill>
                  <w14:solidFill>
                    <w14:schemeClr w14:val="tx1"/>
                  </w14:solidFill>
                </w14:textFill>
              </w:rPr>
              <w:t xml:space="preserve">stage III </w:t>
            </w:r>
            <w:r>
              <w:rPr>
                <w:rFonts w:ascii="Times New Roman" w:hAnsi="Times New Roman" w:eastAsia="微软雅黑" w:cs="Times New Roman"/>
                <w:color w:val="000000" w:themeColor="text1"/>
                <w:kern w:val="0"/>
                <w:sz w:val="28"/>
                <w:szCs w:val="28"/>
                <w14:textFill>
                  <w14:solidFill>
                    <w14:schemeClr w14:val="tx1"/>
                  </w14:solidFill>
                </w14:textFill>
              </w:rPr>
              <w:t>unresectable non-small cell lung cancer</w:t>
            </w:r>
          </w:p>
        </w:tc>
      </w:tr>
      <w:tr w14:paraId="4ED1B00D">
        <w:tc>
          <w:tcPr>
            <w:tcW w:w="2411" w:type="dxa"/>
          </w:tcPr>
          <w:p w14:paraId="2187FEA7">
            <w:pPr>
              <w:widowControl/>
              <w:suppressAutoHyphens/>
              <w:spacing w:before="120" w:after="120" w:line="360" w:lineRule="auto"/>
              <w:jc w:val="left"/>
              <w:rPr>
                <w:rFonts w:ascii="Times New Roman" w:hAnsi="Times New Roman" w:eastAsia="宋体" w:cs="Times New Roman"/>
                <w:b/>
                <w:color w:val="000000" w:themeColor="text1"/>
                <w:kern w:val="0"/>
                <w:sz w:val="28"/>
                <w:szCs w:val="28"/>
                <w14:textFill>
                  <w14:solidFill>
                    <w14:schemeClr w14:val="tx1"/>
                  </w14:solidFill>
                </w14:textFill>
              </w:rPr>
            </w:pPr>
            <w:r>
              <w:rPr>
                <w:rFonts w:ascii="Times New Roman" w:hAnsi="Times New Roman" w:eastAsia="微软雅黑" w:cs="Times New Roman"/>
                <w:b/>
                <w:color w:val="000000" w:themeColor="text1"/>
                <w:kern w:val="0"/>
                <w:sz w:val="28"/>
                <w:szCs w:val="28"/>
                <w14:textFill>
                  <w14:solidFill>
                    <w14:schemeClr w14:val="tx1"/>
                  </w14:solidFill>
                </w14:textFill>
              </w:rPr>
              <w:t>Sponsor:</w:t>
            </w:r>
          </w:p>
        </w:tc>
        <w:tc>
          <w:tcPr>
            <w:tcW w:w="7355" w:type="dxa"/>
            <w:vAlign w:val="center"/>
          </w:tcPr>
          <w:p w14:paraId="794107B5">
            <w:pPr>
              <w:widowControl/>
              <w:suppressAutoHyphens/>
              <w:spacing w:before="120" w:line="360" w:lineRule="auto"/>
              <w:jc w:val="left"/>
              <w:rPr>
                <w:rFonts w:ascii="Times New Roman" w:hAnsi="Times New Roman" w:eastAsia="宋体" w:cs="Times New Roman"/>
                <w:color w:val="000000" w:themeColor="text1"/>
                <w:kern w:val="0"/>
                <w:sz w:val="28"/>
                <w:szCs w:val="28"/>
                <w14:textFill>
                  <w14:solidFill>
                    <w14:schemeClr w14:val="tx1"/>
                  </w14:solidFill>
                </w14:textFill>
              </w:rPr>
            </w:pPr>
            <w:r>
              <w:rPr>
                <w:rFonts w:ascii="Times New Roman" w:hAnsi="Times New Roman" w:eastAsia="微软雅黑" w:cs="Times New Roman"/>
                <w:color w:val="000000" w:themeColor="text1"/>
                <w:kern w:val="0"/>
                <w:sz w:val="28"/>
                <w:szCs w:val="28"/>
                <w14:textFill>
                  <w14:solidFill>
                    <w14:schemeClr w14:val="tx1"/>
                  </w14:solidFill>
                </w14:textFill>
              </w:rPr>
              <w:t>Fudan University Shanghai Cancer Center</w:t>
            </w:r>
          </w:p>
        </w:tc>
      </w:tr>
      <w:tr w14:paraId="604FB210">
        <w:trPr>
          <w:trHeight w:val="452" w:hRule="atLeast"/>
        </w:trPr>
        <w:tc>
          <w:tcPr>
            <w:tcW w:w="2411" w:type="dxa"/>
          </w:tcPr>
          <w:p w14:paraId="5D5BC1F4">
            <w:pPr>
              <w:widowControl/>
              <w:suppressAutoHyphens/>
              <w:spacing w:before="120" w:after="120" w:line="360" w:lineRule="auto"/>
              <w:jc w:val="left"/>
              <w:rPr>
                <w:rFonts w:ascii="Times New Roman" w:hAnsi="Times New Roman" w:eastAsia="宋体" w:cs="Times New Roman"/>
                <w:b/>
                <w:color w:val="000000" w:themeColor="text1"/>
                <w:kern w:val="0"/>
                <w:sz w:val="28"/>
                <w:szCs w:val="28"/>
                <w14:textFill>
                  <w14:solidFill>
                    <w14:schemeClr w14:val="tx1"/>
                  </w14:solidFill>
                </w14:textFill>
              </w:rPr>
            </w:pPr>
            <w:r>
              <w:rPr>
                <w:rFonts w:ascii="Times New Roman" w:hAnsi="Times New Roman" w:eastAsia="微软雅黑" w:cs="Times New Roman"/>
                <w:b/>
                <w:color w:val="000000" w:themeColor="text1"/>
                <w:kern w:val="0"/>
                <w:sz w:val="28"/>
                <w:szCs w:val="28"/>
                <w14:textFill>
                  <w14:solidFill>
                    <w14:schemeClr w14:val="tx1"/>
                  </w14:solidFill>
                </w14:textFill>
              </w:rPr>
              <w:t>version No.：</w:t>
            </w:r>
          </w:p>
        </w:tc>
        <w:tc>
          <w:tcPr>
            <w:tcW w:w="7355" w:type="dxa"/>
            <w:vAlign w:val="center"/>
          </w:tcPr>
          <w:p w14:paraId="242CA8AD">
            <w:pPr>
              <w:widowControl/>
              <w:suppressAutoHyphens/>
              <w:spacing w:before="120" w:line="360" w:lineRule="auto"/>
              <w:jc w:val="left"/>
              <w:rPr>
                <w:rFonts w:ascii="Times New Roman" w:hAnsi="Times New Roman" w:eastAsia="宋体" w:cs="Times New Roman"/>
                <w:color w:val="000000" w:themeColor="text1"/>
                <w:kern w:val="0"/>
                <w:sz w:val="28"/>
                <w:szCs w:val="28"/>
                <w14:textFill>
                  <w14:solidFill>
                    <w14:schemeClr w14:val="tx1"/>
                  </w14:solidFill>
                </w14:textFill>
              </w:rPr>
            </w:pPr>
            <w:r>
              <w:rPr>
                <w:rFonts w:ascii="Times New Roman" w:hAnsi="Times New Roman" w:eastAsia="微软雅黑" w:cs="Times New Roman"/>
                <w:color w:val="000000" w:themeColor="text1"/>
                <w:kern w:val="0"/>
                <w:sz w:val="28"/>
                <w:szCs w:val="28"/>
                <w14:textFill>
                  <w14:solidFill>
                    <w14:schemeClr w14:val="tx1"/>
                  </w14:solidFill>
                </w14:textFill>
              </w:rPr>
              <w:t>Version 1.0 / May 15,2024</w:t>
            </w:r>
          </w:p>
        </w:tc>
      </w:tr>
      <w:tr w14:paraId="1914A146">
        <w:trPr>
          <w:trHeight w:val="452" w:hRule="atLeast"/>
        </w:trPr>
        <w:tc>
          <w:tcPr>
            <w:tcW w:w="2411" w:type="dxa"/>
          </w:tcPr>
          <w:p w14:paraId="5429DD67">
            <w:pPr>
              <w:widowControl/>
              <w:suppressAutoHyphens/>
              <w:spacing w:before="120" w:after="120" w:line="360" w:lineRule="auto"/>
              <w:jc w:val="left"/>
              <w:rPr>
                <w:rFonts w:ascii="Times New Roman" w:hAnsi="Times New Roman" w:eastAsia="微软雅黑" w:cs="Times New Roman"/>
                <w:b/>
                <w:color w:val="000000" w:themeColor="text1"/>
                <w:kern w:val="0"/>
                <w:sz w:val="28"/>
                <w:szCs w:val="28"/>
                <w14:textFill>
                  <w14:solidFill>
                    <w14:schemeClr w14:val="tx1"/>
                  </w14:solidFill>
                </w14:textFill>
              </w:rPr>
            </w:pPr>
            <w:bookmarkStart w:id="11" w:name="_Toc1776924912"/>
            <w:r>
              <w:rPr>
                <w:rFonts w:hint="eastAsia" w:ascii="Times New Roman" w:hAnsi="Times New Roman" w:eastAsia="微软雅黑" w:cs="Times New Roman"/>
                <w:b/>
                <w:color w:val="000000" w:themeColor="text1"/>
                <w:kern w:val="0"/>
                <w:sz w:val="28"/>
                <w:szCs w:val="28"/>
                <w14:textFill>
                  <w14:solidFill>
                    <w14:schemeClr w14:val="tx1"/>
                  </w14:solidFill>
                </w14:textFill>
              </w:rPr>
              <w:t>ClinicalTrials.gov Identifier</w:t>
            </w:r>
          </w:p>
        </w:tc>
        <w:tc>
          <w:tcPr>
            <w:tcW w:w="7355" w:type="dxa"/>
            <w:vAlign w:val="center"/>
          </w:tcPr>
          <w:p w14:paraId="4341BDB9">
            <w:pPr>
              <w:widowControl/>
              <w:suppressAutoHyphens/>
              <w:spacing w:before="120" w:line="360" w:lineRule="auto"/>
              <w:jc w:val="left"/>
              <w:rPr>
                <w:rFonts w:ascii="Times New Roman" w:hAnsi="Times New Roman" w:eastAsia="微软雅黑" w:cs="Times New Roman"/>
                <w:color w:val="000000" w:themeColor="text1"/>
                <w:kern w:val="0"/>
                <w:sz w:val="28"/>
                <w:szCs w:val="28"/>
                <w14:textFill>
                  <w14:solidFill>
                    <w14:schemeClr w14:val="tx1"/>
                  </w14:solidFill>
                </w14:textFill>
              </w:rPr>
            </w:pPr>
            <w:r>
              <w:rPr>
                <w:rFonts w:hint="eastAsia" w:ascii="Times New Roman" w:hAnsi="Times New Roman" w:eastAsia="微软雅黑" w:cs="Times New Roman"/>
                <w:color w:val="000000" w:themeColor="text1"/>
                <w:kern w:val="0"/>
                <w:sz w:val="28"/>
                <w:szCs w:val="28"/>
                <w14:textFill>
                  <w14:solidFill>
                    <w14:schemeClr w14:val="tx1"/>
                  </w14:solidFill>
                </w14:textFill>
              </w:rPr>
              <w:t>NCT06448910</w:t>
            </w:r>
          </w:p>
        </w:tc>
      </w:tr>
    </w:tbl>
    <w:p w14:paraId="76CC87DB">
      <w:pPr>
        <w:widowControl/>
        <w:pBdr>
          <w:top w:val="single" w:color="auto" w:sz="4" w:space="1"/>
          <w:left w:val="single" w:color="auto" w:sz="4" w:space="4"/>
          <w:bottom w:val="single" w:color="auto" w:sz="4" w:space="1"/>
          <w:right w:val="single" w:color="auto" w:sz="4" w:space="16"/>
          <w:between w:val="single" w:color="auto" w:sz="4" w:space="1"/>
        </w:pBdr>
        <w:suppressAutoHyphens/>
        <w:spacing w:before="120" w:after="120" w:line="360" w:lineRule="auto"/>
        <w:ind w:firstLine="420" w:firstLineChars="200"/>
        <w:jc w:val="center"/>
        <w:outlineLvl w:val="0"/>
        <w:rPr>
          <w:rFonts w:ascii="Times New Roman" w:hAnsi="Times New Roman" w:eastAsia="宋体" w:cs="Times New Roman"/>
          <w:b/>
          <w:bCs/>
          <w:color w:val="000000" w:themeColor="text1"/>
          <w14:textFill>
            <w14:solidFill>
              <w14:schemeClr w14:val="tx1"/>
            </w14:solidFill>
          </w14:textFill>
        </w:rPr>
      </w:pPr>
      <w:bookmarkStart w:id="12" w:name="_Toc655250918"/>
      <w:bookmarkStart w:id="13" w:name="_Toc1006939882"/>
      <w:bookmarkStart w:id="14" w:name="_Toc508803662"/>
      <w:r>
        <w:rPr>
          <w:rFonts w:ascii="Times New Roman" w:hAnsi="Times New Roman" w:eastAsia="宋体" w:cs="Times New Roman"/>
          <w:b/>
          <w:bCs/>
          <w:color w:val="000000" w:themeColor="text1"/>
          <w14:textFill>
            <w14:solidFill>
              <w14:schemeClr w14:val="tx1"/>
            </w14:solidFill>
          </w14:textFill>
        </w:rPr>
        <w:t>Confidentiality Statement</w:t>
      </w:r>
      <w:bookmarkEnd w:id="11"/>
      <w:bookmarkEnd w:id="12"/>
      <w:bookmarkEnd w:id="13"/>
      <w:bookmarkEnd w:id="14"/>
    </w:p>
    <w:p w14:paraId="406617A8">
      <w:pPr>
        <w:widowControl/>
        <w:pBdr>
          <w:top w:val="single" w:color="auto" w:sz="4" w:space="1"/>
          <w:left w:val="single" w:color="auto" w:sz="4" w:space="4"/>
          <w:bottom w:val="single" w:color="auto" w:sz="4" w:space="1"/>
          <w:right w:val="single" w:color="auto" w:sz="4" w:space="16"/>
          <w:between w:val="single" w:color="auto" w:sz="4" w:space="1"/>
        </w:pBdr>
        <w:suppressAutoHyphens/>
        <w:spacing w:before="120" w:after="120" w:line="360" w:lineRule="auto"/>
        <w:ind w:firstLine="420" w:firstLineChars="200"/>
        <w:jc w:val="left"/>
        <w:rPr>
          <w:rFonts w:ascii="Times New Roman" w:hAnsi="Times New Roman" w:eastAsia="宋体" w:cs="Times New Roman"/>
          <w:color w:val="000000" w:themeColor="text1"/>
          <w14:textFill>
            <w14:solidFill>
              <w14:schemeClr w14:val="tx1"/>
            </w14:solidFill>
          </w14:textFill>
        </w:rPr>
        <w:sectPr>
          <w:footerReference r:id="rId3" w:type="default"/>
          <w:pgSz w:w="11906" w:h="16838"/>
          <w:pgMar w:top="1440" w:right="1080" w:bottom="1440" w:left="1080" w:header="851" w:footer="992" w:gutter="0"/>
          <w:cols w:space="720" w:num="1"/>
          <w:docGrid w:type="lines" w:linePitch="312" w:charSpace="0"/>
        </w:sectPr>
      </w:pPr>
      <w:r>
        <w:rPr>
          <w:rFonts w:ascii="Times New Roman" w:hAnsi="Times New Roman" w:eastAsia="宋体" w:cs="Times New Roman"/>
          <w:color w:val="000000" w:themeColor="text1"/>
          <w14:textFill>
            <w14:solidFill>
              <w14:schemeClr w14:val="tx1"/>
            </w14:solidFill>
          </w14:textFill>
        </w:rPr>
        <w:t>The information contained in this document (particularly unpublished data) is the property of the sponsor. Therefore, the information provided to you (the investigator, potential investigator, or consultant) is confidential and may only be used for your review, that of your staff, or the relevant ethics committee. Except in cases where information is required to obtain informed consent from potential study subjects, the information in this document shall not be disclosed to others without the prior written permission of the Sponsor.</w:t>
      </w:r>
    </w:p>
    <w:p w14:paraId="27A65D60">
      <w:pPr>
        <w:keepNext/>
        <w:widowControl/>
        <w:spacing w:line="360" w:lineRule="auto"/>
        <w:ind w:firstLine="480" w:firstLineChars="200"/>
        <w:jc w:val="center"/>
        <w:outlineLvl w:val="0"/>
        <w:rPr>
          <w:rFonts w:ascii="Times New Roman" w:hAnsi="Times New Roman" w:eastAsia="宋体" w:cs="Times New Roman"/>
          <w:b/>
          <w:bCs/>
          <w:caps/>
          <w:kern w:val="28"/>
          <w:sz w:val="24"/>
          <w:szCs w:val="28"/>
        </w:rPr>
      </w:pPr>
      <w:bookmarkStart w:id="15" w:name="_Toc1467458414"/>
      <w:bookmarkStart w:id="16" w:name="_Toc183264880"/>
      <w:bookmarkStart w:id="17" w:name="_Toc26747"/>
      <w:bookmarkStart w:id="18" w:name="_Toc28619"/>
      <w:bookmarkStart w:id="19" w:name="_Toc82720746"/>
      <w:bookmarkStart w:id="20" w:name="_Toc506037010"/>
      <w:bookmarkStart w:id="21" w:name="_Toc1869400802"/>
      <w:bookmarkStart w:id="22" w:name="_Toc24228"/>
      <w:bookmarkStart w:id="23" w:name="_Toc82358839"/>
      <w:r>
        <w:rPr>
          <w:rFonts w:ascii="Times New Roman" w:hAnsi="Times New Roman" w:eastAsia="宋体" w:cs="Times New Roman"/>
          <w:b/>
          <w:bCs/>
          <w:caps/>
          <w:kern w:val="28"/>
          <w:sz w:val="24"/>
          <w:szCs w:val="28"/>
        </w:rPr>
        <w:t>Researcher signature sheet</w:t>
      </w:r>
      <w:bookmarkEnd w:id="15"/>
      <w:bookmarkEnd w:id="16"/>
      <w:bookmarkEnd w:id="17"/>
      <w:bookmarkEnd w:id="18"/>
      <w:bookmarkEnd w:id="19"/>
      <w:bookmarkEnd w:id="20"/>
      <w:bookmarkEnd w:id="21"/>
      <w:bookmarkEnd w:id="22"/>
      <w:bookmarkEnd w:id="23"/>
    </w:p>
    <w:p w14:paraId="6158CD22">
      <w:pPr>
        <w:kinsoku w:val="0"/>
        <w:autoSpaceDE w:val="0"/>
        <w:autoSpaceDN w:val="0"/>
        <w:adjustRightInd w:val="0"/>
        <w:spacing w:line="360" w:lineRule="auto"/>
        <w:ind w:firstLine="476" w:firstLineChars="200"/>
        <w:textAlignment w:val="baseline"/>
        <w:rPr>
          <w:rFonts w:ascii="Times New Roman" w:hAnsi="Times New Roman" w:eastAsia="宋体" w:cs="Times New Roman"/>
          <w:snapToGrid w:val="0"/>
          <w:kern w:val="0"/>
          <w:sz w:val="24"/>
          <w:lang w:eastAsia="en-US"/>
        </w:rPr>
      </w:pPr>
      <w:r>
        <w:rPr>
          <w:rFonts w:ascii="Times New Roman" w:hAnsi="Times New Roman" w:eastAsia="宋体" w:cs="Times New Roman"/>
          <w:b/>
          <w:bCs/>
          <w:snapToGrid w:val="0"/>
          <w:spacing w:val="-1"/>
          <w:kern w:val="0"/>
          <w:sz w:val="24"/>
          <w:lang w:eastAsia="en-US"/>
        </w:rPr>
        <w:t>Protocol Title</w:t>
      </w:r>
      <w:r>
        <w:rPr>
          <w:rFonts w:ascii="Times New Roman" w:hAnsi="Times New Roman" w:eastAsia="宋体" w:cs="Times New Roman"/>
          <w:snapToGrid w:val="0"/>
          <w:spacing w:val="-1"/>
          <w:kern w:val="0"/>
          <w:sz w:val="24"/>
          <w:lang w:eastAsia="en-US"/>
        </w:rPr>
        <w:t>:</w:t>
      </w:r>
      <w:r>
        <w:rPr>
          <w:rFonts w:ascii="Times New Roman" w:hAnsi="Times New Roman" w:eastAsia="宋体" w:cs="Times New Roman"/>
          <w:snapToGrid w:val="0"/>
          <w:spacing w:val="-28"/>
          <w:kern w:val="0"/>
          <w:sz w:val="24"/>
          <w:lang w:eastAsia="en-US"/>
        </w:rPr>
        <w:t xml:space="preserve"> </w:t>
      </w:r>
      <w:r>
        <w:rPr>
          <w:rFonts w:ascii="Times New Roman" w:hAnsi="Times New Roman" w:eastAsia="宋体" w:cs="Times New Roman"/>
          <w:snapToGrid w:val="0"/>
          <w:spacing w:val="-1"/>
          <w:kern w:val="0"/>
          <w:sz w:val="24"/>
          <w:lang w:eastAsia="en-US"/>
        </w:rPr>
        <w:t>A Prospective,</w:t>
      </w:r>
      <w:r>
        <w:rPr>
          <w:rFonts w:ascii="Times New Roman" w:hAnsi="Times New Roman" w:eastAsia="宋体" w:cs="Times New Roman"/>
          <w:snapToGrid w:val="0"/>
          <w:spacing w:val="-1"/>
          <w:kern w:val="0"/>
          <w:sz w:val="24"/>
        </w:rPr>
        <w:t xml:space="preserve"> </w:t>
      </w:r>
      <w:r>
        <w:rPr>
          <w:rFonts w:ascii="Times New Roman" w:hAnsi="Times New Roman" w:eastAsia="宋体" w:cs="Times New Roman"/>
          <w:snapToGrid w:val="0"/>
          <w:spacing w:val="-1"/>
          <w:kern w:val="0"/>
          <w:sz w:val="24"/>
          <w:lang w:eastAsia="en-US"/>
        </w:rPr>
        <w:t>Phase</w:t>
      </w:r>
      <w:r>
        <w:rPr>
          <w:rFonts w:ascii="Times New Roman" w:hAnsi="Times New Roman" w:eastAsia="宋体" w:cs="Times New Roman"/>
          <w:snapToGrid w:val="0"/>
          <w:spacing w:val="46"/>
          <w:kern w:val="0"/>
          <w:sz w:val="24"/>
          <w:lang w:eastAsia="en-US"/>
        </w:rPr>
        <w:t xml:space="preserve"> </w:t>
      </w:r>
      <w:r>
        <w:rPr>
          <w:rFonts w:ascii="Times New Roman" w:hAnsi="Times New Roman" w:eastAsia="宋体" w:cs="Times New Roman"/>
          <w:snapToGrid w:val="0"/>
          <w:spacing w:val="-1"/>
          <w:kern w:val="0"/>
          <w:sz w:val="24"/>
          <w:lang w:eastAsia="en-US"/>
        </w:rPr>
        <w:t>II,</w:t>
      </w:r>
      <w:r>
        <w:rPr>
          <w:rFonts w:ascii="Times New Roman" w:hAnsi="Times New Roman" w:eastAsia="宋体" w:cs="Times New Roman"/>
          <w:snapToGrid w:val="0"/>
          <w:spacing w:val="-1"/>
          <w:kern w:val="0"/>
          <w:sz w:val="24"/>
        </w:rPr>
        <w:t xml:space="preserve"> </w:t>
      </w:r>
      <w:r>
        <w:rPr>
          <w:rFonts w:ascii="Times New Roman" w:hAnsi="Times New Roman" w:eastAsia="宋体" w:cs="Times New Roman"/>
          <w:snapToGrid w:val="0"/>
          <w:spacing w:val="-1"/>
          <w:kern w:val="0"/>
          <w:sz w:val="24"/>
          <w:lang w:eastAsia="en-US"/>
        </w:rPr>
        <w:t>Single-Arm Study</w:t>
      </w:r>
      <w:r>
        <w:rPr>
          <w:rFonts w:ascii="Times New Roman" w:hAnsi="Times New Roman" w:eastAsia="宋体" w:cs="Times New Roman"/>
          <w:snapToGrid w:val="0"/>
          <w:spacing w:val="45"/>
          <w:kern w:val="0"/>
          <w:sz w:val="24"/>
          <w:lang w:eastAsia="en-US"/>
        </w:rPr>
        <w:t xml:space="preserve"> </w:t>
      </w:r>
      <w:r>
        <w:rPr>
          <w:rFonts w:ascii="Times New Roman" w:hAnsi="Times New Roman" w:eastAsia="宋体" w:cs="Times New Roman"/>
          <w:snapToGrid w:val="0"/>
          <w:spacing w:val="-1"/>
          <w:kern w:val="0"/>
          <w:sz w:val="24"/>
          <w:lang w:eastAsia="en-US"/>
        </w:rPr>
        <w:t>Evaluating</w:t>
      </w:r>
      <w:r>
        <w:rPr>
          <w:rFonts w:ascii="Times New Roman" w:hAnsi="Times New Roman" w:eastAsia="宋体" w:cs="Times New Roman"/>
          <w:snapToGrid w:val="0"/>
          <w:spacing w:val="42"/>
          <w:kern w:val="0"/>
          <w:sz w:val="24"/>
          <w:lang w:eastAsia="en-US"/>
        </w:rPr>
        <w:t xml:space="preserve"> </w:t>
      </w:r>
      <w:r>
        <w:rPr>
          <w:rFonts w:ascii="Times New Roman" w:hAnsi="Times New Roman" w:eastAsia="宋体" w:cs="Times New Roman"/>
          <w:snapToGrid w:val="0"/>
          <w:spacing w:val="-1"/>
          <w:kern w:val="0"/>
          <w:sz w:val="24"/>
          <w:lang w:eastAsia="en-US"/>
        </w:rPr>
        <w:t>the</w:t>
      </w:r>
      <w:r>
        <w:rPr>
          <w:rFonts w:ascii="Times New Roman" w:hAnsi="Times New Roman" w:eastAsia="宋体" w:cs="Times New Roman"/>
          <w:snapToGrid w:val="0"/>
          <w:spacing w:val="45"/>
          <w:kern w:val="0"/>
          <w:sz w:val="24"/>
          <w:lang w:eastAsia="en-US"/>
        </w:rPr>
        <w:t xml:space="preserve"> </w:t>
      </w:r>
      <w:r>
        <w:rPr>
          <w:rFonts w:ascii="Times New Roman" w:hAnsi="Times New Roman" w:eastAsia="宋体" w:cs="Times New Roman"/>
          <w:snapToGrid w:val="0"/>
          <w:spacing w:val="-1"/>
          <w:kern w:val="0"/>
          <w:sz w:val="24"/>
          <w:lang w:eastAsia="en-US"/>
        </w:rPr>
        <w:t>Efficacy</w:t>
      </w:r>
      <w:r>
        <w:rPr>
          <w:rFonts w:ascii="Times New Roman" w:hAnsi="Times New Roman" w:eastAsia="宋体" w:cs="Times New Roman"/>
          <w:snapToGrid w:val="0"/>
          <w:spacing w:val="48"/>
          <w:kern w:val="0"/>
          <w:sz w:val="24"/>
          <w:lang w:eastAsia="en-US"/>
        </w:rPr>
        <w:t xml:space="preserve"> </w:t>
      </w:r>
      <w:r>
        <w:rPr>
          <w:rFonts w:ascii="Times New Roman" w:hAnsi="Times New Roman" w:eastAsia="宋体" w:cs="Times New Roman"/>
          <w:snapToGrid w:val="0"/>
          <w:spacing w:val="-1"/>
          <w:kern w:val="0"/>
          <w:sz w:val="24"/>
          <w:lang w:eastAsia="en-US"/>
        </w:rPr>
        <w:t>and</w:t>
      </w:r>
      <w:r>
        <w:rPr>
          <w:rFonts w:ascii="Times New Roman" w:hAnsi="Times New Roman" w:eastAsia="宋体" w:cs="Times New Roman"/>
          <w:snapToGrid w:val="0"/>
          <w:spacing w:val="54"/>
          <w:w w:val="101"/>
          <w:kern w:val="0"/>
          <w:sz w:val="24"/>
          <w:lang w:eastAsia="en-US"/>
        </w:rPr>
        <w:t xml:space="preserve"> </w:t>
      </w:r>
      <w:r>
        <w:rPr>
          <w:rFonts w:ascii="Times New Roman" w:hAnsi="Times New Roman" w:eastAsia="宋体" w:cs="Times New Roman"/>
          <w:snapToGrid w:val="0"/>
          <w:spacing w:val="-1"/>
          <w:kern w:val="0"/>
          <w:sz w:val="24"/>
          <w:lang w:eastAsia="en-US"/>
        </w:rPr>
        <w:t>Safety</w:t>
      </w:r>
      <w:r>
        <w:rPr>
          <w:rFonts w:ascii="Times New Roman" w:hAnsi="Times New Roman" w:eastAsia="宋体" w:cs="Times New Roman"/>
          <w:snapToGrid w:val="0"/>
          <w:kern w:val="0"/>
          <w:sz w:val="24"/>
          <w:lang w:eastAsia="en-US"/>
        </w:rPr>
        <w:t xml:space="preserve"> of Cadonilimab (AK104)</w:t>
      </w:r>
      <w:r>
        <w:rPr>
          <w:rFonts w:ascii="Times New Roman" w:hAnsi="Times New Roman" w:eastAsia="宋体" w:cs="Times New Roman"/>
          <w:snapToGrid w:val="0"/>
          <w:kern w:val="0"/>
          <w:sz w:val="24"/>
        </w:rPr>
        <w:t xml:space="preserve"> </w:t>
      </w:r>
      <w:r>
        <w:rPr>
          <w:rFonts w:ascii="Times New Roman" w:hAnsi="Times New Roman" w:eastAsia="宋体" w:cs="Times New Roman"/>
          <w:snapToGrid w:val="0"/>
          <w:kern w:val="0"/>
          <w:sz w:val="24"/>
          <w:lang w:eastAsia="en-US"/>
        </w:rPr>
        <w:t>as</w:t>
      </w:r>
      <w:r>
        <w:rPr>
          <w:rFonts w:ascii="Times New Roman" w:hAnsi="Times New Roman" w:eastAsia="宋体" w:cs="Times New Roman"/>
          <w:snapToGrid w:val="0"/>
          <w:spacing w:val="28"/>
          <w:kern w:val="0"/>
          <w:sz w:val="24"/>
          <w:lang w:eastAsia="en-US"/>
        </w:rPr>
        <w:t xml:space="preserve"> </w:t>
      </w:r>
      <w:r>
        <w:rPr>
          <w:rFonts w:ascii="Times New Roman" w:hAnsi="Times New Roman" w:eastAsia="宋体" w:cs="Times New Roman"/>
          <w:snapToGrid w:val="0"/>
          <w:kern w:val="0"/>
          <w:sz w:val="24"/>
          <w:lang w:eastAsia="en-US"/>
        </w:rPr>
        <w:t>Induction</w:t>
      </w:r>
      <w:r>
        <w:rPr>
          <w:rFonts w:ascii="Times New Roman" w:hAnsi="Times New Roman" w:eastAsia="宋体" w:cs="Times New Roman"/>
          <w:snapToGrid w:val="0"/>
          <w:spacing w:val="30"/>
          <w:kern w:val="0"/>
          <w:sz w:val="24"/>
          <w:lang w:eastAsia="en-US"/>
        </w:rPr>
        <w:t xml:space="preserve"> </w:t>
      </w:r>
      <w:r>
        <w:rPr>
          <w:rFonts w:ascii="Times New Roman" w:hAnsi="Times New Roman" w:eastAsia="宋体" w:cs="Times New Roman"/>
          <w:snapToGrid w:val="0"/>
          <w:kern w:val="0"/>
          <w:sz w:val="24"/>
          <w:lang w:eastAsia="en-US"/>
        </w:rPr>
        <w:t>and</w:t>
      </w:r>
      <w:r>
        <w:rPr>
          <w:rFonts w:ascii="Times New Roman" w:hAnsi="Times New Roman" w:eastAsia="宋体" w:cs="Times New Roman"/>
          <w:snapToGrid w:val="0"/>
          <w:spacing w:val="29"/>
          <w:w w:val="101"/>
          <w:kern w:val="0"/>
          <w:sz w:val="24"/>
          <w:lang w:eastAsia="en-US"/>
        </w:rPr>
        <w:t xml:space="preserve"> </w:t>
      </w:r>
      <w:r>
        <w:rPr>
          <w:rFonts w:ascii="Times New Roman" w:hAnsi="Times New Roman" w:eastAsia="宋体" w:cs="Times New Roman"/>
          <w:snapToGrid w:val="0"/>
          <w:kern w:val="0"/>
          <w:sz w:val="24"/>
          <w:lang w:eastAsia="en-US"/>
        </w:rPr>
        <w:t>Consolidat</w:t>
      </w:r>
      <w:r>
        <w:rPr>
          <w:rFonts w:ascii="Times New Roman" w:hAnsi="Times New Roman" w:eastAsia="宋体" w:cs="Times New Roman"/>
          <w:snapToGrid w:val="0"/>
          <w:spacing w:val="-1"/>
          <w:kern w:val="0"/>
          <w:sz w:val="24"/>
          <w:lang w:eastAsia="en-US"/>
        </w:rPr>
        <w:t>ion</w:t>
      </w:r>
      <w:r>
        <w:rPr>
          <w:rFonts w:ascii="Times New Roman" w:hAnsi="Times New Roman" w:eastAsia="宋体" w:cs="Times New Roman"/>
          <w:snapToGrid w:val="0"/>
          <w:spacing w:val="29"/>
          <w:kern w:val="0"/>
          <w:sz w:val="24"/>
          <w:lang w:eastAsia="en-US"/>
        </w:rPr>
        <w:t xml:space="preserve"> </w:t>
      </w:r>
      <w:r>
        <w:rPr>
          <w:rFonts w:ascii="Times New Roman" w:hAnsi="Times New Roman" w:eastAsia="宋体" w:cs="Times New Roman"/>
          <w:snapToGrid w:val="0"/>
          <w:spacing w:val="-1"/>
          <w:kern w:val="0"/>
          <w:sz w:val="24"/>
          <w:lang w:eastAsia="en-US"/>
        </w:rPr>
        <w:t>Therapy</w:t>
      </w:r>
      <w:r>
        <w:rPr>
          <w:rFonts w:ascii="Times New Roman" w:hAnsi="Times New Roman" w:eastAsia="宋体" w:cs="Times New Roman"/>
          <w:snapToGrid w:val="0"/>
          <w:spacing w:val="28"/>
          <w:kern w:val="0"/>
          <w:sz w:val="24"/>
          <w:lang w:eastAsia="en-US"/>
        </w:rPr>
        <w:t xml:space="preserve"> </w:t>
      </w:r>
      <w:r>
        <w:rPr>
          <w:rFonts w:ascii="Times New Roman" w:hAnsi="Times New Roman" w:eastAsia="宋体" w:cs="Times New Roman"/>
          <w:snapToGrid w:val="0"/>
          <w:spacing w:val="-1"/>
          <w:kern w:val="0"/>
          <w:sz w:val="24"/>
          <w:lang w:eastAsia="en-US"/>
        </w:rPr>
        <w:t>in</w:t>
      </w:r>
      <w:r>
        <w:rPr>
          <w:rFonts w:ascii="Times New Roman" w:hAnsi="Times New Roman" w:eastAsia="宋体" w:cs="Times New Roman"/>
          <w:snapToGrid w:val="0"/>
          <w:spacing w:val="26"/>
          <w:w w:val="101"/>
          <w:kern w:val="0"/>
          <w:sz w:val="24"/>
          <w:lang w:eastAsia="en-US"/>
        </w:rPr>
        <w:t xml:space="preserve"> </w:t>
      </w:r>
      <w:r>
        <w:rPr>
          <w:rFonts w:ascii="Times New Roman" w:hAnsi="Times New Roman" w:eastAsia="宋体" w:cs="Times New Roman"/>
          <w:snapToGrid w:val="0"/>
          <w:spacing w:val="-1"/>
          <w:kern w:val="0"/>
          <w:sz w:val="24"/>
          <w:lang w:eastAsia="en-US"/>
        </w:rPr>
        <w:t>stage III Unresectable</w:t>
      </w:r>
      <w:r>
        <w:rPr>
          <w:rFonts w:ascii="Times New Roman" w:hAnsi="Times New Roman" w:eastAsia="宋体" w:cs="Times New Roman"/>
          <w:snapToGrid w:val="0"/>
          <w:kern w:val="0"/>
          <w:sz w:val="24"/>
          <w:lang w:eastAsia="en-US"/>
        </w:rPr>
        <w:t xml:space="preserve"> Non-Small</w:t>
      </w:r>
      <w:r>
        <w:rPr>
          <w:rFonts w:ascii="Times New Roman" w:hAnsi="Times New Roman" w:eastAsia="宋体" w:cs="Times New Roman"/>
          <w:snapToGrid w:val="0"/>
          <w:kern w:val="0"/>
          <w:sz w:val="24"/>
        </w:rPr>
        <w:t xml:space="preserve"> </w:t>
      </w:r>
      <w:r>
        <w:rPr>
          <w:rFonts w:ascii="Times New Roman" w:hAnsi="Times New Roman" w:eastAsia="宋体" w:cs="Times New Roman"/>
          <w:snapToGrid w:val="0"/>
          <w:kern w:val="0"/>
          <w:sz w:val="24"/>
          <w:lang w:eastAsia="en-US"/>
        </w:rPr>
        <w:t>Cell</w:t>
      </w:r>
      <w:r>
        <w:rPr>
          <w:rFonts w:ascii="Times New Roman" w:hAnsi="Times New Roman" w:eastAsia="宋体" w:cs="Times New Roman"/>
          <w:snapToGrid w:val="0"/>
          <w:spacing w:val="16"/>
          <w:w w:val="101"/>
          <w:kern w:val="0"/>
          <w:sz w:val="24"/>
          <w:lang w:eastAsia="en-US"/>
        </w:rPr>
        <w:t xml:space="preserve"> </w:t>
      </w:r>
      <w:r>
        <w:rPr>
          <w:rFonts w:ascii="Times New Roman" w:hAnsi="Times New Roman" w:eastAsia="宋体" w:cs="Times New Roman"/>
          <w:snapToGrid w:val="0"/>
          <w:kern w:val="0"/>
          <w:sz w:val="24"/>
          <w:lang w:eastAsia="en-US"/>
        </w:rPr>
        <w:t>Lung</w:t>
      </w:r>
      <w:r>
        <w:rPr>
          <w:rFonts w:ascii="Times New Roman" w:hAnsi="Times New Roman" w:eastAsia="宋体" w:cs="Times New Roman"/>
          <w:snapToGrid w:val="0"/>
          <w:spacing w:val="20"/>
          <w:kern w:val="0"/>
          <w:sz w:val="24"/>
          <w:lang w:eastAsia="en-US"/>
        </w:rPr>
        <w:t xml:space="preserve"> </w:t>
      </w:r>
      <w:r>
        <w:rPr>
          <w:rFonts w:ascii="Times New Roman" w:hAnsi="Times New Roman" w:eastAsia="宋体" w:cs="Times New Roman"/>
          <w:snapToGrid w:val="0"/>
          <w:kern w:val="0"/>
          <w:sz w:val="24"/>
          <w:lang w:eastAsia="en-US"/>
        </w:rPr>
        <w:t>Cancer</w:t>
      </w:r>
      <w:r>
        <w:rPr>
          <w:rFonts w:ascii="Times New Roman" w:hAnsi="Times New Roman" w:eastAsia="宋体" w:cs="Times New Roman"/>
          <w:snapToGrid w:val="0"/>
          <w:spacing w:val="17"/>
          <w:w w:val="101"/>
          <w:kern w:val="0"/>
          <w:sz w:val="24"/>
          <w:lang w:eastAsia="en-US"/>
        </w:rPr>
        <w:t xml:space="preserve"> </w:t>
      </w:r>
      <w:r>
        <w:rPr>
          <w:rFonts w:ascii="Times New Roman" w:hAnsi="Times New Roman" w:eastAsia="宋体" w:cs="Times New Roman"/>
          <w:snapToGrid w:val="0"/>
          <w:kern w:val="0"/>
          <w:sz w:val="24"/>
          <w:lang w:eastAsia="en-US"/>
        </w:rPr>
        <w:t>Treated wi</w:t>
      </w:r>
      <w:r>
        <w:rPr>
          <w:rFonts w:ascii="Times New Roman" w:hAnsi="Times New Roman" w:eastAsia="宋体" w:cs="Times New Roman"/>
          <w:snapToGrid w:val="0"/>
          <w:spacing w:val="-1"/>
          <w:kern w:val="0"/>
          <w:sz w:val="24"/>
          <w:lang w:eastAsia="en-US"/>
        </w:rPr>
        <w:t>th</w:t>
      </w:r>
      <w:r>
        <w:rPr>
          <w:rFonts w:ascii="Times New Roman" w:hAnsi="Times New Roman" w:eastAsia="宋体" w:cs="Times New Roman"/>
          <w:snapToGrid w:val="0"/>
          <w:spacing w:val="20"/>
          <w:w w:val="101"/>
          <w:kern w:val="0"/>
          <w:sz w:val="24"/>
          <w:lang w:eastAsia="en-US"/>
        </w:rPr>
        <w:t xml:space="preserve"> </w:t>
      </w:r>
      <w:r>
        <w:rPr>
          <w:rFonts w:ascii="Times New Roman" w:hAnsi="Times New Roman" w:eastAsia="宋体" w:cs="Times New Roman"/>
          <w:snapToGrid w:val="0"/>
          <w:spacing w:val="-1"/>
          <w:kern w:val="0"/>
          <w:sz w:val="24"/>
          <w:lang w:eastAsia="en-US"/>
        </w:rPr>
        <w:t>Concurrent</w:t>
      </w:r>
      <w:r>
        <w:rPr>
          <w:rFonts w:ascii="Times New Roman" w:hAnsi="Times New Roman" w:eastAsia="宋体" w:cs="Times New Roman"/>
          <w:snapToGrid w:val="0"/>
          <w:spacing w:val="20"/>
          <w:kern w:val="0"/>
          <w:sz w:val="24"/>
          <w:lang w:eastAsia="en-US"/>
        </w:rPr>
        <w:t xml:space="preserve"> </w:t>
      </w:r>
      <w:r>
        <w:rPr>
          <w:rFonts w:ascii="Times New Roman" w:hAnsi="Times New Roman" w:eastAsia="宋体" w:cs="Times New Roman"/>
          <w:snapToGrid w:val="0"/>
          <w:spacing w:val="-1"/>
          <w:kern w:val="0"/>
          <w:sz w:val="24"/>
          <w:lang w:eastAsia="en-US"/>
        </w:rPr>
        <w:t>Chemoradiotherapy</w:t>
      </w:r>
    </w:p>
    <w:p w14:paraId="2DB488D3">
      <w:pPr>
        <w:kinsoku w:val="0"/>
        <w:autoSpaceDE w:val="0"/>
        <w:autoSpaceDN w:val="0"/>
        <w:adjustRightInd w:val="0"/>
        <w:spacing w:line="360" w:lineRule="auto"/>
        <w:ind w:firstLine="480" w:firstLineChars="200"/>
        <w:textAlignment w:val="baseline"/>
        <w:outlineLvl w:val="0"/>
        <w:rPr>
          <w:rFonts w:ascii="Times New Roman" w:hAnsi="Times New Roman" w:eastAsia="宋体" w:cs="Times New Roman"/>
          <w:snapToGrid w:val="0"/>
          <w:kern w:val="0"/>
          <w:sz w:val="24"/>
          <w:lang w:eastAsia="en-US"/>
        </w:rPr>
      </w:pPr>
      <w:bookmarkStart w:id="24" w:name="_Toc641288362"/>
      <w:bookmarkStart w:id="25" w:name="_Toc928784950"/>
      <w:bookmarkStart w:id="26" w:name="_Toc1333523604"/>
      <w:bookmarkStart w:id="27" w:name="_Toc1871361950"/>
      <w:r>
        <w:rPr>
          <w:rFonts w:ascii="Times New Roman" w:hAnsi="Times New Roman" w:eastAsia="宋体" w:cs="Times New Roman"/>
          <w:b/>
          <w:bCs/>
          <w:snapToGrid w:val="0"/>
          <w:kern w:val="0"/>
          <w:sz w:val="24"/>
          <w:lang w:eastAsia="en-US"/>
        </w:rPr>
        <w:t>Protocol</w:t>
      </w:r>
      <w:r>
        <w:rPr>
          <w:rFonts w:ascii="Times New Roman" w:hAnsi="Times New Roman" w:eastAsia="宋体" w:cs="Times New Roman"/>
          <w:b/>
          <w:bCs/>
          <w:snapToGrid w:val="0"/>
          <w:spacing w:val="34"/>
          <w:kern w:val="0"/>
          <w:sz w:val="24"/>
          <w:lang w:eastAsia="en-US"/>
        </w:rPr>
        <w:t xml:space="preserve"> </w:t>
      </w:r>
      <w:r>
        <w:rPr>
          <w:rFonts w:ascii="Times New Roman" w:hAnsi="Times New Roman" w:eastAsia="宋体" w:cs="Times New Roman"/>
          <w:b/>
          <w:bCs/>
          <w:snapToGrid w:val="0"/>
          <w:kern w:val="0"/>
          <w:sz w:val="24"/>
          <w:lang w:eastAsia="en-US"/>
        </w:rPr>
        <w:t xml:space="preserve">No.: </w:t>
      </w:r>
      <w:r>
        <w:rPr>
          <w:rFonts w:ascii="Times New Roman" w:hAnsi="Times New Roman" w:eastAsia="宋体" w:cs="Times New Roman"/>
          <w:snapToGrid w:val="0"/>
          <w:kern w:val="0"/>
          <w:sz w:val="24"/>
          <w:lang w:eastAsia="en-US"/>
        </w:rPr>
        <w:t>Lung-AK104</w:t>
      </w:r>
      <w:bookmarkEnd w:id="24"/>
      <w:bookmarkEnd w:id="25"/>
      <w:bookmarkEnd w:id="26"/>
      <w:bookmarkEnd w:id="27"/>
    </w:p>
    <w:p w14:paraId="5C3D323A">
      <w:pPr>
        <w:kinsoku w:val="0"/>
        <w:autoSpaceDE w:val="0"/>
        <w:autoSpaceDN w:val="0"/>
        <w:adjustRightInd w:val="0"/>
        <w:spacing w:line="360" w:lineRule="auto"/>
        <w:ind w:firstLine="480" w:firstLineChars="200"/>
        <w:textAlignment w:val="baseline"/>
        <w:rPr>
          <w:rFonts w:ascii="Times New Roman" w:hAnsi="Times New Roman" w:eastAsia="宋体" w:cs="Times New Roman"/>
          <w:snapToGrid w:val="0"/>
          <w:kern w:val="0"/>
          <w:sz w:val="24"/>
          <w:lang w:eastAsia="en-US"/>
        </w:rPr>
      </w:pPr>
      <w:r>
        <w:rPr>
          <w:rFonts w:ascii="Times New Roman" w:hAnsi="Times New Roman" w:eastAsia="宋体" w:cs="Times New Roman"/>
          <w:snapToGrid w:val="0"/>
          <w:kern w:val="0"/>
          <w:sz w:val="24"/>
          <w:lang w:eastAsia="en-US"/>
        </w:rPr>
        <w:t>I confirm that I have read</w:t>
      </w:r>
      <w:r>
        <w:rPr>
          <w:rFonts w:ascii="Times New Roman" w:hAnsi="Times New Roman" w:eastAsia="宋体" w:cs="Times New Roman"/>
          <w:snapToGrid w:val="0"/>
          <w:spacing w:val="13"/>
          <w:kern w:val="0"/>
          <w:sz w:val="24"/>
          <w:lang w:eastAsia="en-US"/>
        </w:rPr>
        <w:t xml:space="preserve"> </w:t>
      </w:r>
      <w:r>
        <w:rPr>
          <w:rFonts w:ascii="Times New Roman" w:hAnsi="Times New Roman" w:eastAsia="宋体" w:cs="Times New Roman"/>
          <w:snapToGrid w:val="0"/>
          <w:kern w:val="0"/>
          <w:sz w:val="24"/>
          <w:lang w:eastAsia="en-US"/>
        </w:rPr>
        <w:t>and understood this</w:t>
      </w:r>
      <w:r>
        <w:rPr>
          <w:rFonts w:ascii="Times New Roman" w:hAnsi="Times New Roman" w:eastAsia="宋体" w:cs="Times New Roman"/>
          <w:snapToGrid w:val="0"/>
          <w:spacing w:val="4"/>
          <w:kern w:val="0"/>
          <w:sz w:val="24"/>
          <w:lang w:eastAsia="en-US"/>
        </w:rPr>
        <w:t xml:space="preserve"> </w:t>
      </w:r>
      <w:r>
        <w:rPr>
          <w:rFonts w:ascii="Times New Roman" w:hAnsi="Times New Roman" w:eastAsia="宋体" w:cs="Times New Roman"/>
          <w:snapToGrid w:val="0"/>
          <w:kern w:val="0"/>
          <w:sz w:val="24"/>
          <w:lang w:eastAsia="en-US"/>
        </w:rPr>
        <w:t>protocol</w:t>
      </w:r>
      <w:r>
        <w:rPr>
          <w:rFonts w:ascii="Times New Roman" w:hAnsi="Times New Roman" w:eastAsia="宋体" w:cs="Times New Roman"/>
          <w:snapToGrid w:val="0"/>
          <w:spacing w:val="14"/>
          <w:kern w:val="0"/>
          <w:sz w:val="24"/>
          <w:lang w:eastAsia="en-US"/>
        </w:rPr>
        <w:t xml:space="preserve"> </w:t>
      </w:r>
      <w:r>
        <w:rPr>
          <w:rFonts w:ascii="Times New Roman" w:hAnsi="Times New Roman" w:eastAsia="宋体" w:cs="Times New Roman"/>
          <w:snapToGrid w:val="0"/>
          <w:kern w:val="0"/>
          <w:sz w:val="24"/>
          <w:lang w:eastAsia="en-US"/>
        </w:rPr>
        <w:t>and</w:t>
      </w:r>
      <w:r>
        <w:rPr>
          <w:rFonts w:ascii="Times New Roman" w:hAnsi="Times New Roman" w:eastAsia="宋体" w:cs="Times New Roman"/>
          <w:snapToGrid w:val="0"/>
          <w:spacing w:val="6"/>
          <w:kern w:val="0"/>
          <w:sz w:val="24"/>
          <w:lang w:eastAsia="en-US"/>
        </w:rPr>
        <w:t xml:space="preserve"> </w:t>
      </w:r>
      <w:r>
        <w:rPr>
          <w:rFonts w:ascii="Times New Roman" w:hAnsi="Times New Roman" w:eastAsia="宋体" w:cs="Times New Roman"/>
          <w:snapToGrid w:val="0"/>
          <w:kern w:val="0"/>
          <w:sz w:val="24"/>
          <w:lang w:eastAsia="en-US"/>
        </w:rPr>
        <w:t>will</w:t>
      </w:r>
      <w:r>
        <w:rPr>
          <w:rFonts w:ascii="Times New Roman" w:hAnsi="Times New Roman" w:eastAsia="宋体" w:cs="Times New Roman"/>
          <w:snapToGrid w:val="0"/>
          <w:spacing w:val="13"/>
          <w:kern w:val="0"/>
          <w:sz w:val="24"/>
          <w:lang w:eastAsia="en-US"/>
        </w:rPr>
        <w:t xml:space="preserve"> </w:t>
      </w:r>
      <w:r>
        <w:rPr>
          <w:rFonts w:ascii="Times New Roman" w:hAnsi="Times New Roman" w:eastAsia="宋体" w:cs="Times New Roman"/>
          <w:snapToGrid w:val="0"/>
          <w:kern w:val="0"/>
          <w:sz w:val="24"/>
          <w:lang w:eastAsia="en-US"/>
        </w:rPr>
        <w:t>con</w:t>
      </w:r>
      <w:r>
        <w:rPr>
          <w:rFonts w:ascii="Times New Roman" w:hAnsi="Times New Roman" w:eastAsia="宋体" w:cs="Times New Roman"/>
          <w:snapToGrid w:val="0"/>
          <w:spacing w:val="-1"/>
          <w:kern w:val="0"/>
          <w:sz w:val="24"/>
          <w:lang w:eastAsia="en-US"/>
        </w:rPr>
        <w:t>duct</w:t>
      </w:r>
      <w:r>
        <w:rPr>
          <w:rFonts w:ascii="Times New Roman" w:hAnsi="Times New Roman" w:eastAsia="宋体" w:cs="Times New Roman"/>
          <w:snapToGrid w:val="0"/>
          <w:spacing w:val="6"/>
          <w:kern w:val="0"/>
          <w:sz w:val="24"/>
          <w:lang w:eastAsia="en-US"/>
        </w:rPr>
        <w:t xml:space="preserve"> </w:t>
      </w:r>
      <w:r>
        <w:rPr>
          <w:rFonts w:ascii="Times New Roman" w:hAnsi="Times New Roman" w:eastAsia="宋体" w:cs="Times New Roman"/>
          <w:snapToGrid w:val="0"/>
          <w:spacing w:val="-1"/>
          <w:kern w:val="0"/>
          <w:sz w:val="24"/>
          <w:lang w:eastAsia="en-US"/>
        </w:rPr>
        <w:t>my</w:t>
      </w:r>
      <w:r>
        <w:rPr>
          <w:rFonts w:ascii="Times New Roman" w:hAnsi="Times New Roman" w:eastAsia="宋体" w:cs="Times New Roman"/>
          <w:snapToGrid w:val="0"/>
          <w:spacing w:val="7"/>
          <w:kern w:val="0"/>
          <w:sz w:val="24"/>
          <w:lang w:eastAsia="en-US"/>
        </w:rPr>
        <w:t xml:space="preserve"> </w:t>
      </w:r>
      <w:r>
        <w:rPr>
          <w:rFonts w:ascii="Times New Roman" w:hAnsi="Times New Roman" w:eastAsia="宋体" w:cs="Times New Roman"/>
          <w:snapToGrid w:val="0"/>
          <w:spacing w:val="-1"/>
          <w:kern w:val="0"/>
          <w:sz w:val="24"/>
          <w:lang w:eastAsia="en-US"/>
        </w:rPr>
        <w:t>work</w:t>
      </w:r>
      <w:r>
        <w:rPr>
          <w:rFonts w:ascii="Times New Roman" w:hAnsi="Times New Roman" w:eastAsia="宋体" w:cs="Times New Roman"/>
          <w:snapToGrid w:val="0"/>
          <w:spacing w:val="10"/>
          <w:kern w:val="0"/>
          <w:sz w:val="24"/>
          <w:lang w:eastAsia="en-US"/>
        </w:rPr>
        <w:t xml:space="preserve"> </w:t>
      </w:r>
      <w:r>
        <w:rPr>
          <w:rFonts w:ascii="Times New Roman" w:hAnsi="Times New Roman" w:eastAsia="宋体" w:cs="Times New Roman"/>
          <w:snapToGrid w:val="0"/>
          <w:spacing w:val="-1"/>
          <w:kern w:val="0"/>
          <w:sz w:val="24"/>
          <w:lang w:eastAsia="en-US"/>
        </w:rPr>
        <w:t>in</w:t>
      </w:r>
      <w:r>
        <w:rPr>
          <w:rFonts w:ascii="Times New Roman" w:hAnsi="Times New Roman" w:eastAsia="宋体" w:cs="Times New Roman"/>
          <w:snapToGrid w:val="0"/>
          <w:spacing w:val="14"/>
          <w:kern w:val="0"/>
          <w:sz w:val="24"/>
          <w:lang w:eastAsia="en-US"/>
        </w:rPr>
        <w:t xml:space="preserve"> </w:t>
      </w:r>
      <w:r>
        <w:rPr>
          <w:rFonts w:ascii="Times New Roman" w:hAnsi="Times New Roman" w:eastAsia="宋体" w:cs="Times New Roman"/>
          <w:snapToGrid w:val="0"/>
          <w:spacing w:val="-1"/>
          <w:kern w:val="0"/>
          <w:sz w:val="24"/>
          <w:lang w:eastAsia="en-US"/>
        </w:rPr>
        <w:t>accordance</w:t>
      </w:r>
      <w:r>
        <w:rPr>
          <w:rFonts w:ascii="Times New Roman" w:hAnsi="Times New Roman" w:eastAsia="宋体" w:cs="Times New Roman"/>
          <w:snapToGrid w:val="0"/>
          <w:kern w:val="0"/>
          <w:sz w:val="24"/>
          <w:lang w:eastAsia="en-US"/>
        </w:rPr>
        <w:t xml:space="preserve"> with it. I</w:t>
      </w:r>
      <w:r>
        <w:rPr>
          <w:rFonts w:ascii="Times New Roman" w:hAnsi="Times New Roman" w:eastAsia="宋体" w:cs="Times New Roman"/>
          <w:snapToGrid w:val="0"/>
          <w:spacing w:val="56"/>
          <w:w w:val="101"/>
          <w:kern w:val="0"/>
          <w:sz w:val="24"/>
          <w:lang w:eastAsia="en-US"/>
        </w:rPr>
        <w:t xml:space="preserve"> </w:t>
      </w:r>
      <w:r>
        <w:rPr>
          <w:rFonts w:ascii="Times New Roman" w:hAnsi="Times New Roman" w:eastAsia="宋体" w:cs="Times New Roman"/>
          <w:snapToGrid w:val="0"/>
          <w:kern w:val="0"/>
          <w:sz w:val="24"/>
          <w:lang w:eastAsia="en-US"/>
        </w:rPr>
        <w:t>will also adhere to ethical principles c</w:t>
      </w:r>
      <w:r>
        <w:rPr>
          <w:rFonts w:ascii="Times New Roman" w:hAnsi="Times New Roman" w:eastAsia="宋体" w:cs="Times New Roman"/>
          <w:snapToGrid w:val="0"/>
          <w:spacing w:val="-1"/>
          <w:kern w:val="0"/>
          <w:sz w:val="24"/>
          <w:lang w:eastAsia="en-US"/>
        </w:rPr>
        <w:t>onsistent with the Declaration of</w:t>
      </w:r>
      <w:r>
        <w:rPr>
          <w:rFonts w:ascii="Times New Roman" w:hAnsi="Times New Roman" w:eastAsia="宋体" w:cs="Times New Roman"/>
          <w:snapToGrid w:val="0"/>
          <w:spacing w:val="34"/>
          <w:w w:val="101"/>
          <w:kern w:val="0"/>
          <w:sz w:val="24"/>
          <w:lang w:eastAsia="en-US"/>
        </w:rPr>
        <w:t xml:space="preserve"> </w:t>
      </w:r>
      <w:r>
        <w:rPr>
          <w:rFonts w:ascii="Times New Roman" w:hAnsi="Times New Roman" w:eastAsia="宋体" w:cs="Times New Roman"/>
          <w:snapToGrid w:val="0"/>
          <w:spacing w:val="-1"/>
          <w:kern w:val="0"/>
          <w:sz w:val="24"/>
          <w:lang w:eastAsia="en-US"/>
        </w:rPr>
        <w:t>Helsinki,</w:t>
      </w:r>
      <w:r>
        <w:rPr>
          <w:rFonts w:ascii="Times New Roman" w:hAnsi="Times New Roman" w:eastAsia="宋体" w:cs="Times New Roman"/>
          <w:snapToGrid w:val="0"/>
          <w:spacing w:val="-1"/>
          <w:kern w:val="0"/>
          <w:sz w:val="24"/>
        </w:rPr>
        <w:t xml:space="preserve"> </w:t>
      </w:r>
      <w:r>
        <w:rPr>
          <w:rFonts w:ascii="Times New Roman" w:hAnsi="Times New Roman" w:eastAsia="宋体" w:cs="Times New Roman"/>
          <w:snapToGrid w:val="0"/>
          <w:spacing w:val="-1"/>
          <w:kern w:val="0"/>
          <w:sz w:val="24"/>
          <w:lang w:eastAsia="en-US"/>
        </w:rPr>
        <w:t>Good</w:t>
      </w:r>
      <w:r>
        <w:rPr>
          <w:rFonts w:ascii="Times New Roman" w:hAnsi="Times New Roman" w:eastAsia="宋体" w:cs="Times New Roman"/>
          <w:snapToGrid w:val="0"/>
          <w:kern w:val="0"/>
          <w:sz w:val="24"/>
          <w:lang w:eastAsia="en-US"/>
        </w:rPr>
        <w:t xml:space="preserve"> Clinical</w:t>
      </w:r>
      <w:r>
        <w:rPr>
          <w:rFonts w:ascii="Times New Roman" w:hAnsi="Times New Roman" w:eastAsia="宋体" w:cs="Times New Roman"/>
          <w:snapToGrid w:val="0"/>
          <w:spacing w:val="43"/>
          <w:w w:val="101"/>
          <w:kern w:val="0"/>
          <w:sz w:val="24"/>
          <w:lang w:eastAsia="en-US"/>
        </w:rPr>
        <w:t xml:space="preserve"> </w:t>
      </w:r>
      <w:r>
        <w:rPr>
          <w:rFonts w:ascii="Times New Roman" w:hAnsi="Times New Roman" w:eastAsia="宋体" w:cs="Times New Roman"/>
          <w:snapToGrid w:val="0"/>
          <w:kern w:val="0"/>
          <w:sz w:val="24"/>
          <w:lang w:eastAsia="en-US"/>
        </w:rPr>
        <w:t>Practice (GCP),</w:t>
      </w:r>
      <w:r>
        <w:rPr>
          <w:rFonts w:ascii="Times New Roman" w:hAnsi="Times New Roman" w:eastAsia="宋体" w:cs="Times New Roman"/>
          <w:snapToGrid w:val="0"/>
          <w:kern w:val="0"/>
          <w:sz w:val="24"/>
        </w:rPr>
        <w:t xml:space="preserve"> </w:t>
      </w:r>
      <w:r>
        <w:rPr>
          <w:rFonts w:ascii="Times New Roman" w:hAnsi="Times New Roman" w:eastAsia="宋体" w:cs="Times New Roman"/>
          <w:snapToGrid w:val="0"/>
          <w:kern w:val="0"/>
          <w:sz w:val="24"/>
          <w:lang w:eastAsia="en-US"/>
        </w:rPr>
        <w:t>and</w:t>
      </w:r>
      <w:r>
        <w:rPr>
          <w:rFonts w:ascii="Times New Roman" w:hAnsi="Times New Roman" w:eastAsia="宋体" w:cs="Times New Roman"/>
          <w:snapToGrid w:val="0"/>
          <w:spacing w:val="47"/>
          <w:w w:val="101"/>
          <w:kern w:val="0"/>
          <w:sz w:val="24"/>
          <w:lang w:eastAsia="en-US"/>
        </w:rPr>
        <w:t xml:space="preserve"> </w:t>
      </w:r>
      <w:r>
        <w:rPr>
          <w:rFonts w:ascii="Times New Roman" w:hAnsi="Times New Roman" w:eastAsia="宋体" w:cs="Times New Roman"/>
          <w:snapToGrid w:val="0"/>
          <w:kern w:val="0"/>
          <w:sz w:val="24"/>
          <w:lang w:eastAsia="en-US"/>
        </w:rPr>
        <w:t>applicab</w:t>
      </w:r>
      <w:r>
        <w:rPr>
          <w:rFonts w:ascii="Times New Roman" w:hAnsi="Times New Roman" w:eastAsia="宋体" w:cs="Times New Roman"/>
          <w:snapToGrid w:val="0"/>
          <w:spacing w:val="-1"/>
          <w:kern w:val="0"/>
          <w:sz w:val="24"/>
          <w:lang w:eastAsia="en-US"/>
        </w:rPr>
        <w:t>le</w:t>
      </w:r>
      <w:r>
        <w:rPr>
          <w:rFonts w:ascii="Times New Roman" w:hAnsi="Times New Roman" w:eastAsia="宋体" w:cs="Times New Roman"/>
          <w:snapToGrid w:val="0"/>
          <w:spacing w:val="47"/>
          <w:kern w:val="0"/>
          <w:sz w:val="24"/>
          <w:lang w:eastAsia="en-US"/>
        </w:rPr>
        <w:t xml:space="preserve"> </w:t>
      </w:r>
      <w:r>
        <w:rPr>
          <w:rFonts w:ascii="Times New Roman" w:hAnsi="Times New Roman" w:eastAsia="宋体" w:cs="Times New Roman"/>
          <w:snapToGrid w:val="0"/>
          <w:spacing w:val="-1"/>
          <w:kern w:val="0"/>
          <w:sz w:val="24"/>
          <w:lang w:eastAsia="en-US"/>
        </w:rPr>
        <w:t>laws</w:t>
      </w:r>
      <w:r>
        <w:rPr>
          <w:rFonts w:ascii="Times New Roman" w:hAnsi="Times New Roman" w:eastAsia="宋体" w:cs="Times New Roman"/>
          <w:snapToGrid w:val="0"/>
          <w:spacing w:val="48"/>
          <w:kern w:val="0"/>
          <w:sz w:val="24"/>
          <w:lang w:eastAsia="en-US"/>
        </w:rPr>
        <w:t xml:space="preserve"> </w:t>
      </w:r>
      <w:r>
        <w:rPr>
          <w:rFonts w:ascii="Times New Roman" w:hAnsi="Times New Roman" w:eastAsia="宋体" w:cs="Times New Roman"/>
          <w:snapToGrid w:val="0"/>
          <w:spacing w:val="-1"/>
          <w:kern w:val="0"/>
          <w:sz w:val="24"/>
          <w:lang w:eastAsia="en-US"/>
        </w:rPr>
        <w:t>and</w:t>
      </w:r>
      <w:r>
        <w:rPr>
          <w:rFonts w:ascii="Times New Roman" w:hAnsi="Times New Roman" w:eastAsia="宋体" w:cs="Times New Roman"/>
          <w:snapToGrid w:val="0"/>
          <w:spacing w:val="41"/>
          <w:kern w:val="0"/>
          <w:sz w:val="24"/>
          <w:lang w:eastAsia="en-US"/>
        </w:rPr>
        <w:t xml:space="preserve"> </w:t>
      </w:r>
      <w:r>
        <w:rPr>
          <w:rFonts w:ascii="Times New Roman" w:hAnsi="Times New Roman" w:eastAsia="宋体" w:cs="Times New Roman"/>
          <w:snapToGrid w:val="0"/>
          <w:spacing w:val="-1"/>
          <w:kern w:val="0"/>
          <w:sz w:val="24"/>
          <w:lang w:eastAsia="en-US"/>
        </w:rPr>
        <w:t>regulations.</w:t>
      </w:r>
      <w:r>
        <w:rPr>
          <w:rFonts w:ascii="Times New Roman" w:hAnsi="Times New Roman" w:eastAsia="宋体" w:cs="Times New Roman"/>
          <w:snapToGrid w:val="0"/>
          <w:spacing w:val="-1"/>
          <w:kern w:val="0"/>
          <w:sz w:val="24"/>
        </w:rPr>
        <w:t xml:space="preserve"> </w:t>
      </w:r>
      <w:r>
        <w:rPr>
          <w:rFonts w:ascii="Times New Roman" w:hAnsi="Times New Roman" w:eastAsia="宋体" w:cs="Times New Roman"/>
          <w:snapToGrid w:val="0"/>
          <w:spacing w:val="-1"/>
          <w:kern w:val="0"/>
          <w:sz w:val="24"/>
          <w:lang w:eastAsia="en-US"/>
        </w:rPr>
        <w:t>Acceptance</w:t>
      </w:r>
      <w:r>
        <w:rPr>
          <w:rFonts w:ascii="Times New Roman" w:hAnsi="Times New Roman" w:eastAsia="宋体" w:cs="Times New Roman"/>
          <w:snapToGrid w:val="0"/>
          <w:spacing w:val="47"/>
          <w:w w:val="101"/>
          <w:kern w:val="0"/>
          <w:sz w:val="24"/>
          <w:lang w:eastAsia="en-US"/>
        </w:rPr>
        <w:t xml:space="preserve"> </w:t>
      </w:r>
      <w:r>
        <w:rPr>
          <w:rFonts w:ascii="Times New Roman" w:hAnsi="Times New Roman" w:eastAsia="宋体" w:cs="Times New Roman"/>
          <w:snapToGrid w:val="0"/>
          <w:spacing w:val="-1"/>
          <w:kern w:val="0"/>
          <w:sz w:val="24"/>
          <w:lang w:eastAsia="en-US"/>
        </w:rPr>
        <w:t>of</w:t>
      </w:r>
      <w:r>
        <w:rPr>
          <w:rFonts w:ascii="Times New Roman" w:hAnsi="Times New Roman" w:eastAsia="宋体" w:cs="Times New Roman"/>
          <w:snapToGrid w:val="0"/>
          <w:spacing w:val="17"/>
          <w:w w:val="101"/>
          <w:kern w:val="0"/>
          <w:sz w:val="24"/>
          <w:lang w:eastAsia="en-US"/>
        </w:rPr>
        <w:t xml:space="preserve"> </w:t>
      </w:r>
      <w:r>
        <w:rPr>
          <w:rFonts w:ascii="Times New Roman" w:hAnsi="Times New Roman" w:eastAsia="宋体" w:cs="Times New Roman"/>
          <w:snapToGrid w:val="0"/>
          <w:spacing w:val="-1"/>
          <w:kern w:val="0"/>
          <w:sz w:val="24"/>
          <w:lang w:eastAsia="en-US"/>
        </w:rPr>
        <w:t>this</w:t>
      </w:r>
      <w:r>
        <w:rPr>
          <w:rFonts w:ascii="Times New Roman" w:hAnsi="Times New Roman" w:eastAsia="宋体" w:cs="Times New Roman"/>
          <w:snapToGrid w:val="0"/>
          <w:spacing w:val="47"/>
          <w:w w:val="101"/>
          <w:kern w:val="0"/>
          <w:sz w:val="24"/>
          <w:lang w:eastAsia="en-US"/>
        </w:rPr>
        <w:t xml:space="preserve"> </w:t>
      </w:r>
      <w:r>
        <w:rPr>
          <w:rFonts w:ascii="Times New Roman" w:hAnsi="Times New Roman" w:eastAsia="宋体" w:cs="Times New Roman"/>
          <w:snapToGrid w:val="0"/>
          <w:spacing w:val="-1"/>
          <w:kern w:val="0"/>
          <w:sz w:val="24"/>
          <w:lang w:eastAsia="en-US"/>
        </w:rPr>
        <w:t>document</w:t>
      </w:r>
      <w:r>
        <w:rPr>
          <w:rFonts w:ascii="Times New Roman" w:hAnsi="Times New Roman" w:eastAsia="宋体" w:cs="Times New Roman"/>
          <w:snapToGrid w:val="0"/>
          <w:spacing w:val="50"/>
          <w:w w:val="101"/>
          <w:kern w:val="0"/>
          <w:sz w:val="24"/>
          <w:lang w:eastAsia="en-US"/>
        </w:rPr>
        <w:t xml:space="preserve"> </w:t>
      </w:r>
      <w:r>
        <w:rPr>
          <w:rFonts w:ascii="Times New Roman" w:hAnsi="Times New Roman" w:eastAsia="宋体" w:cs="Times New Roman"/>
          <w:snapToGrid w:val="0"/>
          <w:spacing w:val="-1"/>
          <w:kern w:val="0"/>
          <w:sz w:val="24"/>
          <w:lang w:eastAsia="en-US"/>
        </w:rPr>
        <w:t>signifies</w:t>
      </w:r>
      <w:r>
        <w:rPr>
          <w:rFonts w:ascii="Times New Roman" w:hAnsi="Times New Roman" w:eastAsia="宋体" w:cs="Times New Roman"/>
          <w:snapToGrid w:val="0"/>
          <w:kern w:val="0"/>
          <w:sz w:val="24"/>
          <w:lang w:eastAsia="en-US"/>
        </w:rPr>
        <w:t xml:space="preserve"> </w:t>
      </w:r>
      <w:r>
        <w:rPr>
          <w:rFonts w:ascii="Times New Roman" w:hAnsi="Times New Roman" w:eastAsia="宋体" w:cs="Times New Roman"/>
          <w:snapToGrid w:val="0"/>
          <w:spacing w:val="-1"/>
          <w:kern w:val="0"/>
          <w:sz w:val="24"/>
          <w:lang w:eastAsia="en-US"/>
        </w:rPr>
        <w:t>my</w:t>
      </w:r>
      <w:r>
        <w:rPr>
          <w:rFonts w:ascii="Times New Roman" w:hAnsi="Times New Roman" w:eastAsia="宋体" w:cs="Times New Roman"/>
          <w:snapToGrid w:val="0"/>
          <w:spacing w:val="50"/>
          <w:w w:val="101"/>
          <w:kern w:val="0"/>
          <w:sz w:val="24"/>
          <w:lang w:eastAsia="en-US"/>
        </w:rPr>
        <w:t xml:space="preserve"> </w:t>
      </w:r>
      <w:r>
        <w:rPr>
          <w:rFonts w:ascii="Times New Roman" w:hAnsi="Times New Roman" w:eastAsia="宋体" w:cs="Times New Roman"/>
          <w:snapToGrid w:val="0"/>
          <w:spacing w:val="-1"/>
          <w:kern w:val="0"/>
          <w:sz w:val="24"/>
          <w:lang w:eastAsia="en-US"/>
        </w:rPr>
        <w:t>agreement</w:t>
      </w:r>
      <w:r>
        <w:rPr>
          <w:rFonts w:ascii="Times New Roman" w:hAnsi="Times New Roman" w:eastAsia="宋体" w:cs="Times New Roman"/>
          <w:snapToGrid w:val="0"/>
          <w:spacing w:val="24"/>
          <w:w w:val="101"/>
          <w:kern w:val="0"/>
          <w:sz w:val="24"/>
          <w:lang w:eastAsia="en-US"/>
        </w:rPr>
        <w:t xml:space="preserve"> </w:t>
      </w:r>
      <w:r>
        <w:rPr>
          <w:rFonts w:ascii="Times New Roman" w:hAnsi="Times New Roman" w:eastAsia="宋体" w:cs="Times New Roman"/>
          <w:snapToGrid w:val="0"/>
          <w:spacing w:val="-1"/>
          <w:kern w:val="0"/>
          <w:sz w:val="24"/>
          <w:lang w:eastAsia="en-US"/>
        </w:rPr>
        <w:t>not</w:t>
      </w:r>
      <w:r>
        <w:rPr>
          <w:rFonts w:ascii="Times New Roman" w:hAnsi="Times New Roman" w:eastAsia="宋体" w:cs="Times New Roman"/>
          <w:snapToGrid w:val="0"/>
          <w:spacing w:val="25"/>
          <w:kern w:val="0"/>
          <w:sz w:val="24"/>
          <w:lang w:eastAsia="en-US"/>
        </w:rPr>
        <w:t xml:space="preserve"> </w:t>
      </w:r>
      <w:r>
        <w:rPr>
          <w:rFonts w:ascii="Times New Roman" w:hAnsi="Times New Roman" w:eastAsia="宋体" w:cs="Times New Roman"/>
          <w:snapToGrid w:val="0"/>
          <w:spacing w:val="-1"/>
          <w:kern w:val="0"/>
          <w:sz w:val="24"/>
          <w:lang w:eastAsia="en-US"/>
        </w:rPr>
        <w:t>to</w:t>
      </w:r>
      <w:r>
        <w:rPr>
          <w:rFonts w:ascii="Times New Roman" w:hAnsi="Times New Roman" w:eastAsia="宋体" w:cs="Times New Roman"/>
          <w:snapToGrid w:val="0"/>
          <w:spacing w:val="23"/>
          <w:kern w:val="0"/>
          <w:sz w:val="24"/>
          <w:lang w:eastAsia="en-US"/>
        </w:rPr>
        <w:t xml:space="preserve"> </w:t>
      </w:r>
      <w:r>
        <w:rPr>
          <w:rFonts w:ascii="Times New Roman" w:hAnsi="Times New Roman" w:eastAsia="宋体" w:cs="Times New Roman"/>
          <w:snapToGrid w:val="0"/>
          <w:spacing w:val="-1"/>
          <w:kern w:val="0"/>
          <w:sz w:val="24"/>
          <w:lang w:eastAsia="en-US"/>
        </w:rPr>
        <w:t>publish</w:t>
      </w:r>
      <w:r>
        <w:rPr>
          <w:rFonts w:ascii="Times New Roman" w:hAnsi="Times New Roman" w:eastAsia="宋体" w:cs="Times New Roman"/>
          <w:snapToGrid w:val="0"/>
          <w:spacing w:val="32"/>
          <w:kern w:val="0"/>
          <w:sz w:val="24"/>
          <w:lang w:eastAsia="en-US"/>
        </w:rPr>
        <w:t xml:space="preserve"> </w:t>
      </w:r>
      <w:r>
        <w:rPr>
          <w:rFonts w:ascii="Times New Roman" w:hAnsi="Times New Roman" w:eastAsia="宋体" w:cs="Times New Roman"/>
          <w:snapToGrid w:val="0"/>
          <w:spacing w:val="-1"/>
          <w:kern w:val="0"/>
          <w:sz w:val="24"/>
          <w:lang w:eastAsia="en-US"/>
        </w:rPr>
        <w:t>or</w:t>
      </w:r>
      <w:r>
        <w:rPr>
          <w:rFonts w:ascii="Times New Roman" w:hAnsi="Times New Roman" w:eastAsia="宋体" w:cs="Times New Roman"/>
          <w:snapToGrid w:val="0"/>
          <w:spacing w:val="30"/>
          <w:kern w:val="0"/>
          <w:sz w:val="24"/>
          <w:lang w:eastAsia="en-US"/>
        </w:rPr>
        <w:t xml:space="preserve"> </w:t>
      </w:r>
      <w:r>
        <w:rPr>
          <w:rFonts w:ascii="Times New Roman" w:hAnsi="Times New Roman" w:eastAsia="宋体" w:cs="Times New Roman"/>
          <w:snapToGrid w:val="0"/>
          <w:spacing w:val="-1"/>
          <w:kern w:val="0"/>
          <w:sz w:val="24"/>
          <w:lang w:eastAsia="en-US"/>
        </w:rPr>
        <w:t>disclose</w:t>
      </w:r>
      <w:r>
        <w:rPr>
          <w:rFonts w:ascii="Times New Roman" w:hAnsi="Times New Roman" w:eastAsia="宋体" w:cs="Times New Roman"/>
          <w:snapToGrid w:val="0"/>
          <w:spacing w:val="32"/>
          <w:kern w:val="0"/>
          <w:sz w:val="24"/>
          <w:lang w:eastAsia="en-US"/>
        </w:rPr>
        <w:t xml:space="preserve"> </w:t>
      </w:r>
      <w:r>
        <w:rPr>
          <w:rFonts w:ascii="Times New Roman" w:hAnsi="Times New Roman" w:eastAsia="宋体" w:cs="Times New Roman"/>
          <w:snapToGrid w:val="0"/>
          <w:spacing w:val="-1"/>
          <w:kern w:val="0"/>
          <w:sz w:val="24"/>
          <w:lang w:eastAsia="en-US"/>
        </w:rPr>
        <w:t>any</w:t>
      </w:r>
      <w:r>
        <w:rPr>
          <w:rFonts w:ascii="Times New Roman" w:hAnsi="Times New Roman" w:eastAsia="宋体" w:cs="Times New Roman"/>
          <w:snapToGrid w:val="0"/>
          <w:spacing w:val="23"/>
          <w:w w:val="101"/>
          <w:kern w:val="0"/>
          <w:sz w:val="24"/>
          <w:lang w:eastAsia="en-US"/>
        </w:rPr>
        <w:t xml:space="preserve"> </w:t>
      </w:r>
      <w:r>
        <w:rPr>
          <w:rFonts w:ascii="Times New Roman" w:hAnsi="Times New Roman" w:eastAsia="宋体" w:cs="Times New Roman"/>
          <w:snapToGrid w:val="0"/>
          <w:spacing w:val="-1"/>
          <w:kern w:val="0"/>
          <w:sz w:val="24"/>
          <w:lang w:eastAsia="en-US"/>
        </w:rPr>
        <w:t>unpublished</w:t>
      </w:r>
      <w:r>
        <w:rPr>
          <w:rFonts w:ascii="Times New Roman" w:hAnsi="Times New Roman" w:eastAsia="宋体" w:cs="Times New Roman"/>
          <w:snapToGrid w:val="0"/>
          <w:spacing w:val="30"/>
          <w:kern w:val="0"/>
          <w:sz w:val="24"/>
          <w:lang w:eastAsia="en-US"/>
        </w:rPr>
        <w:t xml:space="preserve"> </w:t>
      </w:r>
      <w:r>
        <w:rPr>
          <w:rFonts w:ascii="Times New Roman" w:hAnsi="Times New Roman" w:eastAsia="宋体" w:cs="Times New Roman"/>
          <w:snapToGrid w:val="0"/>
          <w:spacing w:val="-1"/>
          <w:kern w:val="0"/>
          <w:sz w:val="24"/>
          <w:lang w:eastAsia="en-US"/>
        </w:rPr>
        <w:t>information</w:t>
      </w:r>
      <w:r>
        <w:rPr>
          <w:rFonts w:ascii="Times New Roman" w:hAnsi="Times New Roman" w:eastAsia="宋体" w:cs="Times New Roman"/>
          <w:snapToGrid w:val="0"/>
          <w:spacing w:val="31"/>
          <w:w w:val="101"/>
          <w:kern w:val="0"/>
          <w:sz w:val="24"/>
          <w:lang w:eastAsia="en-US"/>
        </w:rPr>
        <w:t xml:space="preserve"> </w:t>
      </w:r>
      <w:r>
        <w:rPr>
          <w:rFonts w:ascii="Times New Roman" w:hAnsi="Times New Roman" w:eastAsia="宋体" w:cs="Times New Roman"/>
          <w:snapToGrid w:val="0"/>
          <w:spacing w:val="-1"/>
          <w:kern w:val="0"/>
          <w:sz w:val="24"/>
          <w:lang w:eastAsia="en-US"/>
        </w:rPr>
        <w:t>contained</w:t>
      </w:r>
      <w:r>
        <w:rPr>
          <w:rFonts w:ascii="Times New Roman" w:hAnsi="Times New Roman" w:eastAsia="宋体" w:cs="Times New Roman"/>
          <w:snapToGrid w:val="0"/>
          <w:spacing w:val="24"/>
          <w:kern w:val="0"/>
          <w:sz w:val="24"/>
          <w:lang w:eastAsia="en-US"/>
        </w:rPr>
        <w:t xml:space="preserve"> </w:t>
      </w:r>
      <w:r>
        <w:rPr>
          <w:rFonts w:ascii="Times New Roman" w:hAnsi="Times New Roman" w:eastAsia="宋体" w:cs="Times New Roman"/>
          <w:snapToGrid w:val="0"/>
          <w:spacing w:val="-1"/>
          <w:kern w:val="0"/>
          <w:sz w:val="24"/>
          <w:lang w:eastAsia="en-US"/>
        </w:rPr>
        <w:t>herein</w:t>
      </w:r>
      <w:r>
        <w:rPr>
          <w:rFonts w:ascii="Times New Roman" w:hAnsi="Times New Roman" w:eastAsia="宋体" w:cs="Times New Roman"/>
          <w:snapToGrid w:val="0"/>
          <w:spacing w:val="25"/>
          <w:kern w:val="0"/>
          <w:sz w:val="24"/>
          <w:lang w:eastAsia="en-US"/>
        </w:rPr>
        <w:t xml:space="preserve"> </w:t>
      </w:r>
      <w:r>
        <w:rPr>
          <w:rFonts w:ascii="Times New Roman" w:hAnsi="Times New Roman" w:eastAsia="宋体" w:cs="Times New Roman"/>
          <w:snapToGrid w:val="0"/>
          <w:spacing w:val="-1"/>
          <w:kern w:val="0"/>
          <w:sz w:val="24"/>
          <w:lang w:eastAsia="en-US"/>
        </w:rPr>
        <w:t>without</w:t>
      </w:r>
      <w:r>
        <w:rPr>
          <w:rFonts w:ascii="Times New Roman" w:hAnsi="Times New Roman" w:eastAsia="宋体" w:cs="Times New Roman"/>
          <w:snapToGrid w:val="0"/>
          <w:spacing w:val="25"/>
          <w:w w:val="101"/>
          <w:kern w:val="0"/>
          <w:sz w:val="24"/>
          <w:lang w:eastAsia="en-US"/>
        </w:rPr>
        <w:t xml:space="preserve"> </w:t>
      </w:r>
      <w:r>
        <w:rPr>
          <w:rFonts w:ascii="Times New Roman" w:hAnsi="Times New Roman" w:eastAsia="宋体" w:cs="Times New Roman"/>
          <w:snapToGrid w:val="0"/>
          <w:spacing w:val="-1"/>
          <w:kern w:val="0"/>
          <w:sz w:val="24"/>
          <w:lang w:eastAsia="en-US"/>
        </w:rPr>
        <w:t>the</w:t>
      </w:r>
      <w:r>
        <w:rPr>
          <w:rFonts w:ascii="Times New Roman" w:hAnsi="Times New Roman" w:eastAsia="宋体" w:cs="Times New Roman"/>
          <w:snapToGrid w:val="0"/>
          <w:kern w:val="0"/>
          <w:sz w:val="24"/>
          <w:lang w:eastAsia="en-US"/>
        </w:rPr>
        <w:t xml:space="preserve"> prior</w:t>
      </w:r>
      <w:r>
        <w:rPr>
          <w:rFonts w:ascii="Times New Roman" w:hAnsi="Times New Roman" w:eastAsia="宋体" w:cs="Times New Roman"/>
          <w:snapToGrid w:val="0"/>
          <w:spacing w:val="4"/>
          <w:kern w:val="0"/>
          <w:sz w:val="24"/>
          <w:lang w:eastAsia="en-US"/>
        </w:rPr>
        <w:t xml:space="preserve"> </w:t>
      </w:r>
      <w:r>
        <w:rPr>
          <w:rFonts w:ascii="Times New Roman" w:hAnsi="Times New Roman" w:eastAsia="宋体" w:cs="Times New Roman"/>
          <w:snapToGrid w:val="0"/>
          <w:kern w:val="0"/>
          <w:sz w:val="24"/>
          <w:lang w:eastAsia="en-US"/>
        </w:rPr>
        <w:t>written</w:t>
      </w:r>
      <w:r>
        <w:rPr>
          <w:rFonts w:ascii="Times New Roman" w:hAnsi="Times New Roman" w:eastAsia="宋体" w:cs="Times New Roman"/>
          <w:snapToGrid w:val="0"/>
          <w:spacing w:val="4"/>
          <w:kern w:val="0"/>
          <w:sz w:val="24"/>
          <w:lang w:eastAsia="en-US"/>
        </w:rPr>
        <w:t xml:space="preserve"> </w:t>
      </w:r>
      <w:r>
        <w:rPr>
          <w:rFonts w:ascii="Times New Roman" w:hAnsi="Times New Roman" w:eastAsia="宋体" w:cs="Times New Roman"/>
          <w:snapToGrid w:val="0"/>
          <w:kern w:val="0"/>
          <w:sz w:val="24"/>
          <w:lang w:eastAsia="en-US"/>
        </w:rPr>
        <w:t>permission</w:t>
      </w:r>
      <w:r>
        <w:rPr>
          <w:rFonts w:ascii="Times New Roman" w:hAnsi="Times New Roman" w:eastAsia="宋体" w:cs="Times New Roman"/>
          <w:snapToGrid w:val="0"/>
          <w:spacing w:val="4"/>
          <w:kern w:val="0"/>
          <w:sz w:val="24"/>
          <w:lang w:eastAsia="en-US"/>
        </w:rPr>
        <w:t xml:space="preserve"> </w:t>
      </w:r>
      <w:r>
        <w:rPr>
          <w:rFonts w:ascii="Times New Roman" w:hAnsi="Times New Roman" w:eastAsia="宋体" w:cs="Times New Roman"/>
          <w:snapToGrid w:val="0"/>
          <w:kern w:val="0"/>
          <w:sz w:val="24"/>
          <w:lang w:eastAsia="en-US"/>
        </w:rPr>
        <w:t>of</w:t>
      </w:r>
      <w:r>
        <w:rPr>
          <w:rFonts w:ascii="Times New Roman" w:hAnsi="Times New Roman" w:eastAsia="宋体" w:cs="Times New Roman"/>
          <w:snapToGrid w:val="0"/>
          <w:spacing w:val="-22"/>
          <w:kern w:val="0"/>
          <w:sz w:val="24"/>
          <w:lang w:eastAsia="en-US"/>
        </w:rPr>
        <w:t xml:space="preserve"> </w:t>
      </w:r>
      <w:r>
        <w:rPr>
          <w:rFonts w:ascii="Times New Roman" w:hAnsi="Times New Roman" w:eastAsia="宋体" w:cs="Times New Roman"/>
          <w:snapToGrid w:val="0"/>
          <w:kern w:val="0"/>
          <w:sz w:val="24"/>
          <w:lang w:eastAsia="en-US"/>
        </w:rPr>
        <w:t>the</w:t>
      </w:r>
      <w:r>
        <w:rPr>
          <w:rFonts w:ascii="Times New Roman" w:hAnsi="Times New Roman" w:eastAsia="宋体" w:cs="Times New Roman"/>
          <w:snapToGrid w:val="0"/>
          <w:spacing w:val="4"/>
          <w:kern w:val="0"/>
          <w:sz w:val="24"/>
          <w:lang w:eastAsia="en-US"/>
        </w:rPr>
        <w:t xml:space="preserve"> </w:t>
      </w:r>
      <w:r>
        <w:rPr>
          <w:rFonts w:ascii="Times New Roman" w:hAnsi="Times New Roman" w:eastAsia="宋体" w:cs="Times New Roman"/>
          <w:snapToGrid w:val="0"/>
          <w:kern w:val="0"/>
          <w:sz w:val="24"/>
          <w:lang w:eastAsia="en-US"/>
        </w:rPr>
        <w:t>Sponsor</w:t>
      </w:r>
      <w:r>
        <w:rPr>
          <w:rFonts w:ascii="Times New Roman" w:hAnsi="Times New Roman" w:eastAsia="宋体" w:cs="Times New Roman"/>
          <w:snapToGrid w:val="0"/>
          <w:spacing w:val="4"/>
          <w:kern w:val="0"/>
          <w:sz w:val="24"/>
          <w:lang w:eastAsia="en-US"/>
        </w:rPr>
        <w:t>.</w:t>
      </w:r>
    </w:p>
    <w:p w14:paraId="568FFF49">
      <w:pPr>
        <w:kinsoku w:val="0"/>
        <w:autoSpaceDE w:val="0"/>
        <w:autoSpaceDN w:val="0"/>
        <w:adjustRightInd w:val="0"/>
        <w:spacing w:line="360" w:lineRule="auto"/>
        <w:ind w:firstLine="480" w:firstLineChars="200"/>
        <w:textAlignment w:val="baseline"/>
        <w:rPr>
          <w:rFonts w:ascii="Times New Roman" w:hAnsi="Times New Roman" w:eastAsia="宋体" w:cs="Times New Roman"/>
          <w:snapToGrid w:val="0"/>
          <w:kern w:val="0"/>
          <w:sz w:val="24"/>
          <w:lang w:eastAsia="en-US"/>
        </w:rPr>
      </w:pPr>
      <w:r>
        <w:rPr>
          <w:rFonts w:ascii="Times New Roman" w:hAnsi="Times New Roman" w:eastAsia="宋体" w:cs="Times New Roman"/>
          <w:snapToGrid w:val="0"/>
          <w:kern w:val="0"/>
          <w:sz w:val="24"/>
          <w:lang w:eastAsia="en-US"/>
        </w:rPr>
        <w:t>I have thoroughly reviewed this protocol and agree</w:t>
      </w:r>
      <w:r>
        <w:rPr>
          <w:rFonts w:ascii="Times New Roman" w:hAnsi="Times New Roman" w:eastAsia="宋体" w:cs="Times New Roman"/>
          <w:snapToGrid w:val="0"/>
          <w:spacing w:val="7"/>
          <w:kern w:val="0"/>
          <w:sz w:val="24"/>
          <w:lang w:eastAsia="en-US"/>
        </w:rPr>
        <w:t xml:space="preserve"> </w:t>
      </w:r>
      <w:r>
        <w:rPr>
          <w:rFonts w:ascii="Times New Roman" w:hAnsi="Times New Roman" w:eastAsia="宋体" w:cs="Times New Roman"/>
          <w:snapToGrid w:val="0"/>
          <w:kern w:val="0"/>
          <w:sz w:val="24"/>
          <w:lang w:eastAsia="en-US"/>
        </w:rPr>
        <w:t>to</w:t>
      </w:r>
      <w:r>
        <w:rPr>
          <w:rFonts w:ascii="Times New Roman" w:hAnsi="Times New Roman" w:eastAsia="宋体" w:cs="Times New Roman"/>
          <w:snapToGrid w:val="0"/>
          <w:spacing w:val="11"/>
          <w:kern w:val="0"/>
          <w:sz w:val="24"/>
          <w:lang w:eastAsia="en-US"/>
        </w:rPr>
        <w:t xml:space="preserve"> </w:t>
      </w:r>
      <w:r>
        <w:rPr>
          <w:rFonts w:ascii="Times New Roman" w:hAnsi="Times New Roman" w:eastAsia="宋体" w:cs="Times New Roman"/>
          <w:snapToGrid w:val="0"/>
          <w:kern w:val="0"/>
          <w:sz w:val="24"/>
          <w:lang w:eastAsia="en-US"/>
        </w:rPr>
        <w:t>conduct the</w:t>
      </w:r>
      <w:r>
        <w:rPr>
          <w:rFonts w:ascii="Times New Roman" w:hAnsi="Times New Roman" w:eastAsia="宋体" w:cs="Times New Roman"/>
          <w:snapToGrid w:val="0"/>
          <w:spacing w:val="16"/>
          <w:kern w:val="0"/>
          <w:sz w:val="24"/>
          <w:lang w:eastAsia="en-US"/>
        </w:rPr>
        <w:t xml:space="preserve"> </w:t>
      </w:r>
      <w:r>
        <w:rPr>
          <w:rFonts w:ascii="Times New Roman" w:hAnsi="Times New Roman" w:eastAsia="宋体" w:cs="Times New Roman"/>
          <w:snapToGrid w:val="0"/>
          <w:kern w:val="0"/>
          <w:sz w:val="24"/>
          <w:lang w:eastAsia="en-US"/>
        </w:rPr>
        <w:t>st</w:t>
      </w:r>
      <w:r>
        <w:rPr>
          <w:rFonts w:ascii="Times New Roman" w:hAnsi="Times New Roman" w:eastAsia="宋体" w:cs="Times New Roman"/>
          <w:snapToGrid w:val="0"/>
          <w:spacing w:val="-1"/>
          <w:kern w:val="0"/>
          <w:sz w:val="24"/>
          <w:lang w:eastAsia="en-US"/>
        </w:rPr>
        <w:t>udy</w:t>
      </w:r>
      <w:r>
        <w:rPr>
          <w:rFonts w:ascii="Times New Roman" w:hAnsi="Times New Roman" w:eastAsia="宋体" w:cs="Times New Roman"/>
          <w:snapToGrid w:val="0"/>
          <w:spacing w:val="12"/>
          <w:kern w:val="0"/>
          <w:sz w:val="24"/>
          <w:lang w:eastAsia="en-US"/>
        </w:rPr>
        <w:t xml:space="preserve"> </w:t>
      </w:r>
      <w:r>
        <w:rPr>
          <w:rFonts w:ascii="Times New Roman" w:hAnsi="Times New Roman" w:eastAsia="宋体" w:cs="Times New Roman"/>
          <w:snapToGrid w:val="0"/>
          <w:spacing w:val="-1"/>
          <w:kern w:val="0"/>
          <w:sz w:val="24"/>
          <w:lang w:eastAsia="en-US"/>
        </w:rPr>
        <w:t>accordingly:</w:t>
      </w:r>
    </w:p>
    <w:p w14:paraId="169DA837">
      <w:pPr>
        <w:kinsoku w:val="0"/>
        <w:autoSpaceDE w:val="0"/>
        <w:autoSpaceDN w:val="0"/>
        <w:adjustRightInd w:val="0"/>
        <w:spacing w:line="360" w:lineRule="auto"/>
        <w:ind w:firstLine="480" w:firstLineChars="200"/>
        <w:textAlignment w:val="baseline"/>
        <w:rPr>
          <w:rFonts w:ascii="Times New Roman" w:hAnsi="Times New Roman" w:eastAsia="宋体" w:cs="Times New Roman"/>
          <w:snapToGrid w:val="0"/>
          <w:kern w:val="0"/>
          <w:sz w:val="24"/>
          <w:lang w:eastAsia="en-US"/>
        </w:rPr>
      </w:pPr>
      <w:r>
        <w:rPr>
          <w:rFonts w:ascii="Times New Roman" w:hAnsi="Times New Roman" w:eastAsia="宋体" w:cs="Times New Roman"/>
          <w:b/>
          <w:bCs/>
          <w:snapToGrid w:val="0"/>
          <w:kern w:val="0"/>
          <w:sz w:val="24"/>
          <w:lang w:eastAsia="en-US"/>
        </w:rPr>
        <w:t>Investigator</w:t>
      </w:r>
      <w:r>
        <w:rPr>
          <w:rFonts w:ascii="Times New Roman" w:hAnsi="Times New Roman" w:eastAsia="宋体" w:cs="Times New Roman"/>
          <w:b/>
          <w:bCs/>
          <w:snapToGrid w:val="0"/>
          <w:spacing w:val="30"/>
          <w:kern w:val="0"/>
          <w:sz w:val="24"/>
          <w:lang w:eastAsia="en-US"/>
        </w:rPr>
        <w:t xml:space="preserve"> </w:t>
      </w:r>
      <w:r>
        <w:rPr>
          <w:rFonts w:ascii="Times New Roman" w:hAnsi="Times New Roman" w:eastAsia="宋体" w:cs="Times New Roman"/>
          <w:b/>
          <w:bCs/>
          <w:snapToGrid w:val="0"/>
          <w:kern w:val="0"/>
          <w:sz w:val="24"/>
          <w:lang w:eastAsia="en-US"/>
        </w:rPr>
        <w:t>Name</w:t>
      </w:r>
      <w:r>
        <w:rPr>
          <w:rFonts w:ascii="Times New Roman" w:hAnsi="Times New Roman" w:eastAsia="宋体" w:cs="Times New Roman"/>
          <w:b/>
          <w:bCs/>
          <w:snapToGrid w:val="0"/>
          <w:spacing w:val="8"/>
          <w:kern w:val="0"/>
          <w:sz w:val="24"/>
          <w:lang w:eastAsia="en-US"/>
        </w:rPr>
        <w:t xml:space="preserve">: </w:t>
      </w:r>
      <w:r>
        <w:rPr>
          <w:rFonts w:ascii="Times New Roman" w:hAnsi="Times New Roman" w:eastAsia="宋体" w:cs="Times New Roman"/>
          <w:snapToGrid w:val="0"/>
          <w:kern w:val="0"/>
          <w:sz w:val="24"/>
          <w:lang w:eastAsia="en-US"/>
        </w:rPr>
        <w:t>Zhengfei</w:t>
      </w:r>
      <w:r>
        <w:rPr>
          <w:rFonts w:ascii="Times New Roman" w:hAnsi="Times New Roman" w:eastAsia="宋体" w:cs="Times New Roman"/>
          <w:snapToGrid w:val="0"/>
          <w:spacing w:val="16"/>
          <w:kern w:val="0"/>
          <w:sz w:val="24"/>
          <w:lang w:eastAsia="en-US"/>
        </w:rPr>
        <w:t xml:space="preserve"> </w:t>
      </w:r>
      <w:r>
        <w:rPr>
          <w:rFonts w:ascii="Times New Roman" w:hAnsi="Times New Roman" w:eastAsia="宋体" w:cs="Times New Roman"/>
          <w:snapToGrid w:val="0"/>
          <w:kern w:val="0"/>
          <w:sz w:val="24"/>
          <w:lang w:eastAsia="en-US"/>
        </w:rPr>
        <w:t>Zhu</w:t>
      </w:r>
    </w:p>
    <w:p w14:paraId="5323FFB1">
      <w:pPr>
        <w:kinsoku w:val="0"/>
        <w:autoSpaceDE w:val="0"/>
        <w:autoSpaceDN w:val="0"/>
        <w:adjustRightInd w:val="0"/>
        <w:spacing w:line="360" w:lineRule="auto"/>
        <w:ind w:firstLine="480" w:firstLineChars="200"/>
        <w:textAlignment w:val="baseline"/>
        <w:rPr>
          <w:rFonts w:ascii="Times New Roman" w:hAnsi="Times New Roman" w:eastAsia="宋体" w:cs="Times New Roman"/>
          <w:snapToGrid w:val="0"/>
          <w:kern w:val="0"/>
          <w:sz w:val="24"/>
          <w:lang w:eastAsia="en-US"/>
        </w:rPr>
      </w:pPr>
      <w:r>
        <w:rPr>
          <w:rFonts w:ascii="Times New Roman" w:hAnsi="Times New Roman" w:eastAsia="宋体" w:cs="Times New Roman"/>
          <w:b/>
          <w:bCs/>
          <w:snapToGrid w:val="0"/>
          <w:kern w:val="0"/>
          <w:sz w:val="24"/>
          <w:lang w:eastAsia="en-US"/>
        </w:rPr>
        <w:t>Research</w:t>
      </w:r>
      <w:r>
        <w:rPr>
          <w:rFonts w:ascii="Times New Roman" w:hAnsi="Times New Roman" w:eastAsia="宋体" w:cs="Times New Roman"/>
          <w:b/>
          <w:bCs/>
          <w:snapToGrid w:val="0"/>
          <w:spacing w:val="54"/>
          <w:w w:val="101"/>
          <w:kern w:val="0"/>
          <w:sz w:val="24"/>
          <w:lang w:eastAsia="en-US"/>
        </w:rPr>
        <w:t xml:space="preserve"> </w:t>
      </w:r>
      <w:r>
        <w:rPr>
          <w:rFonts w:ascii="Times New Roman" w:hAnsi="Times New Roman" w:eastAsia="宋体" w:cs="Times New Roman"/>
          <w:b/>
          <w:bCs/>
          <w:snapToGrid w:val="0"/>
          <w:kern w:val="0"/>
          <w:sz w:val="24"/>
          <w:lang w:eastAsia="en-US"/>
        </w:rPr>
        <w:t>Center</w:t>
      </w:r>
      <w:r>
        <w:rPr>
          <w:rFonts w:ascii="Times New Roman" w:hAnsi="Times New Roman" w:eastAsia="宋体" w:cs="Times New Roman"/>
          <w:b/>
          <w:bCs/>
          <w:snapToGrid w:val="0"/>
          <w:spacing w:val="47"/>
          <w:w w:val="101"/>
          <w:kern w:val="0"/>
          <w:sz w:val="24"/>
          <w:lang w:eastAsia="en-US"/>
        </w:rPr>
        <w:t xml:space="preserve"> </w:t>
      </w:r>
      <w:r>
        <w:rPr>
          <w:rFonts w:ascii="Times New Roman" w:hAnsi="Times New Roman" w:eastAsia="宋体" w:cs="Times New Roman"/>
          <w:b/>
          <w:bCs/>
          <w:snapToGrid w:val="0"/>
          <w:kern w:val="0"/>
          <w:sz w:val="24"/>
          <w:lang w:eastAsia="en-US"/>
        </w:rPr>
        <w:t>Name/Address:</w:t>
      </w:r>
      <w:r>
        <w:rPr>
          <w:rFonts w:ascii="Times New Roman" w:hAnsi="Times New Roman" w:eastAsia="宋体" w:cs="Times New Roman"/>
          <w:b/>
          <w:bCs/>
          <w:snapToGrid w:val="0"/>
          <w:spacing w:val="19"/>
          <w:w w:val="101"/>
          <w:kern w:val="0"/>
          <w:sz w:val="24"/>
          <w:lang w:eastAsia="en-US"/>
        </w:rPr>
        <w:t xml:space="preserve"> </w:t>
      </w:r>
      <w:r>
        <w:rPr>
          <w:rFonts w:ascii="Times New Roman" w:hAnsi="Times New Roman" w:eastAsia="宋体" w:cs="Times New Roman"/>
          <w:snapToGrid w:val="0"/>
          <w:kern w:val="0"/>
          <w:sz w:val="24"/>
          <w:lang w:eastAsia="en-US"/>
        </w:rPr>
        <w:t>Fudan University</w:t>
      </w:r>
      <w:r>
        <w:rPr>
          <w:rFonts w:ascii="Times New Roman" w:hAnsi="Times New Roman" w:eastAsia="宋体" w:cs="Times New Roman"/>
          <w:snapToGrid w:val="0"/>
          <w:spacing w:val="18"/>
          <w:kern w:val="0"/>
          <w:sz w:val="24"/>
          <w:lang w:eastAsia="en-US"/>
        </w:rPr>
        <w:t xml:space="preserve"> </w:t>
      </w:r>
      <w:r>
        <w:rPr>
          <w:rFonts w:ascii="Times New Roman" w:hAnsi="Times New Roman" w:eastAsia="宋体" w:cs="Times New Roman"/>
          <w:snapToGrid w:val="0"/>
          <w:kern w:val="0"/>
          <w:sz w:val="24"/>
          <w:lang w:eastAsia="en-US"/>
        </w:rPr>
        <w:t>Shanghai Cancer</w:t>
      </w:r>
      <w:r>
        <w:rPr>
          <w:rFonts w:ascii="Times New Roman" w:hAnsi="Times New Roman" w:eastAsia="宋体" w:cs="Times New Roman"/>
          <w:snapToGrid w:val="0"/>
          <w:spacing w:val="13"/>
          <w:kern w:val="0"/>
          <w:sz w:val="24"/>
          <w:lang w:eastAsia="en-US"/>
        </w:rPr>
        <w:t xml:space="preserve"> </w:t>
      </w:r>
      <w:r>
        <w:rPr>
          <w:rFonts w:ascii="Times New Roman" w:hAnsi="Times New Roman" w:eastAsia="宋体" w:cs="Times New Roman"/>
          <w:snapToGrid w:val="0"/>
          <w:kern w:val="0"/>
          <w:sz w:val="24"/>
          <w:lang w:eastAsia="en-US"/>
        </w:rPr>
        <w:t>Ce</w:t>
      </w:r>
      <w:r>
        <w:rPr>
          <w:rFonts w:ascii="Times New Roman" w:hAnsi="Times New Roman" w:eastAsia="宋体" w:cs="Times New Roman"/>
          <w:snapToGrid w:val="0"/>
          <w:spacing w:val="-1"/>
          <w:kern w:val="0"/>
          <w:sz w:val="24"/>
          <w:lang w:eastAsia="en-US"/>
        </w:rPr>
        <w:t>nter/270</w:t>
      </w:r>
      <w:r>
        <w:rPr>
          <w:rFonts w:ascii="Times New Roman" w:hAnsi="Times New Roman" w:eastAsia="宋体" w:cs="Times New Roman"/>
          <w:snapToGrid w:val="0"/>
          <w:spacing w:val="13"/>
          <w:kern w:val="0"/>
          <w:sz w:val="24"/>
          <w:lang w:eastAsia="en-US"/>
        </w:rPr>
        <w:t xml:space="preserve"> </w:t>
      </w:r>
      <w:r>
        <w:rPr>
          <w:rFonts w:ascii="Times New Roman" w:hAnsi="Times New Roman" w:eastAsia="宋体" w:cs="Times New Roman"/>
          <w:snapToGrid w:val="0"/>
          <w:spacing w:val="-1"/>
          <w:kern w:val="0"/>
          <w:sz w:val="24"/>
          <w:lang w:eastAsia="en-US"/>
        </w:rPr>
        <w:t>Dong'an</w:t>
      </w:r>
      <w:r>
        <w:rPr>
          <w:rFonts w:ascii="Times New Roman" w:hAnsi="Times New Roman" w:eastAsia="宋体" w:cs="Times New Roman"/>
          <w:snapToGrid w:val="0"/>
          <w:kern w:val="0"/>
          <w:sz w:val="24"/>
          <w:lang w:eastAsia="en-US"/>
        </w:rPr>
        <w:t xml:space="preserve"> </w:t>
      </w:r>
      <w:r>
        <w:rPr>
          <w:rFonts w:ascii="Times New Roman" w:hAnsi="Times New Roman" w:eastAsia="宋体" w:cs="Times New Roman"/>
          <w:snapToGrid w:val="0"/>
          <w:spacing w:val="-1"/>
          <w:kern w:val="0"/>
          <w:sz w:val="24"/>
          <w:lang w:eastAsia="en-US"/>
        </w:rPr>
        <w:t>Road,</w:t>
      </w:r>
      <w:r>
        <w:rPr>
          <w:rFonts w:ascii="Times New Roman" w:hAnsi="Times New Roman" w:eastAsia="宋体" w:cs="Times New Roman"/>
          <w:snapToGrid w:val="0"/>
          <w:spacing w:val="-1"/>
          <w:kern w:val="0"/>
          <w:sz w:val="24"/>
        </w:rPr>
        <w:t xml:space="preserve"> </w:t>
      </w:r>
      <w:r>
        <w:rPr>
          <w:rFonts w:ascii="Times New Roman" w:hAnsi="Times New Roman" w:eastAsia="宋体" w:cs="Times New Roman"/>
          <w:snapToGrid w:val="0"/>
          <w:spacing w:val="-1"/>
          <w:kern w:val="0"/>
          <w:sz w:val="24"/>
          <w:lang w:eastAsia="en-US"/>
        </w:rPr>
        <w:t>Xuhui</w:t>
      </w:r>
      <w:r>
        <w:rPr>
          <w:rFonts w:ascii="Times New Roman" w:hAnsi="Times New Roman" w:eastAsia="宋体" w:cs="Times New Roman"/>
          <w:snapToGrid w:val="0"/>
          <w:spacing w:val="14"/>
          <w:kern w:val="0"/>
          <w:sz w:val="24"/>
          <w:lang w:eastAsia="en-US"/>
        </w:rPr>
        <w:t xml:space="preserve"> </w:t>
      </w:r>
      <w:r>
        <w:rPr>
          <w:rFonts w:ascii="Times New Roman" w:hAnsi="Times New Roman" w:eastAsia="宋体" w:cs="Times New Roman"/>
          <w:snapToGrid w:val="0"/>
          <w:spacing w:val="-1"/>
          <w:kern w:val="0"/>
          <w:sz w:val="24"/>
          <w:lang w:eastAsia="en-US"/>
        </w:rPr>
        <w:t>District,</w:t>
      </w:r>
      <w:r>
        <w:rPr>
          <w:rFonts w:ascii="Times New Roman" w:hAnsi="Times New Roman" w:eastAsia="宋体" w:cs="Times New Roman"/>
          <w:snapToGrid w:val="0"/>
          <w:spacing w:val="-1"/>
          <w:kern w:val="0"/>
          <w:sz w:val="24"/>
        </w:rPr>
        <w:t xml:space="preserve"> </w:t>
      </w:r>
      <w:r>
        <w:rPr>
          <w:rFonts w:ascii="Times New Roman" w:hAnsi="Times New Roman" w:eastAsia="宋体" w:cs="Times New Roman"/>
          <w:snapToGrid w:val="0"/>
          <w:spacing w:val="-1"/>
          <w:kern w:val="0"/>
          <w:sz w:val="24"/>
          <w:lang w:eastAsia="en-US"/>
        </w:rPr>
        <w:t>Shanghai</w:t>
      </w:r>
    </w:p>
    <w:p w14:paraId="163C1E56">
      <w:pPr>
        <w:kinsoku w:val="0"/>
        <w:autoSpaceDE w:val="0"/>
        <w:autoSpaceDN w:val="0"/>
        <w:adjustRightInd w:val="0"/>
        <w:spacing w:line="360" w:lineRule="auto"/>
        <w:ind w:firstLine="476" w:firstLineChars="200"/>
        <w:textAlignment w:val="baseline"/>
        <w:rPr>
          <w:rFonts w:ascii="Times New Roman" w:hAnsi="Times New Roman" w:eastAsia="宋体" w:cs="Times New Roman"/>
          <w:b/>
          <w:bCs/>
          <w:snapToGrid w:val="0"/>
          <w:spacing w:val="36"/>
          <w:w w:val="101"/>
          <w:kern w:val="0"/>
          <w:sz w:val="24"/>
          <w:szCs w:val="22"/>
          <w:lang w:eastAsia="en-US"/>
        </w:rPr>
      </w:pPr>
      <w:r>
        <w:rPr>
          <w:rFonts w:ascii="Times New Roman" w:hAnsi="Times New Roman" w:eastAsia="宋体" w:cs="Times New Roman"/>
          <w:b/>
          <w:bCs/>
          <w:snapToGrid w:val="0"/>
          <w:spacing w:val="-1"/>
          <w:kern w:val="0"/>
          <w:sz w:val="24"/>
          <w:szCs w:val="22"/>
          <w:lang w:eastAsia="en-US"/>
        </w:rPr>
        <w:t>Investigator</w:t>
      </w:r>
      <w:r>
        <w:rPr>
          <w:rFonts w:ascii="Times New Roman" w:hAnsi="Times New Roman" w:eastAsia="宋体" w:cs="Times New Roman"/>
          <w:b/>
          <w:bCs/>
          <w:snapToGrid w:val="0"/>
          <w:spacing w:val="-1"/>
          <w:kern w:val="0"/>
          <w:sz w:val="24"/>
          <w:szCs w:val="22"/>
        </w:rPr>
        <w:t xml:space="preserve"> </w:t>
      </w:r>
      <w:r>
        <w:rPr>
          <w:rFonts w:ascii="Times New Roman" w:hAnsi="Times New Roman" w:eastAsia="宋体" w:cs="Times New Roman"/>
          <w:b/>
          <w:bCs/>
          <w:snapToGrid w:val="0"/>
          <w:spacing w:val="-1"/>
          <w:kern w:val="0"/>
          <w:sz w:val="24"/>
          <w:szCs w:val="22"/>
          <w:lang w:eastAsia="en-US"/>
        </w:rPr>
        <w:t>Signature:</w:t>
      </w:r>
      <w:r>
        <w:rPr>
          <w:rFonts w:ascii="Times New Roman" w:hAnsi="Times New Roman" w:eastAsia="宋体" w:cs="Times New Roman"/>
          <w:b/>
          <w:bCs/>
          <w:snapToGrid w:val="0"/>
          <w:spacing w:val="-14"/>
          <w:kern w:val="0"/>
          <w:sz w:val="24"/>
          <w:szCs w:val="22"/>
          <w:lang w:eastAsia="en-US"/>
        </w:rPr>
        <w:t xml:space="preserve"> </w:t>
      </w:r>
      <w:r>
        <w:rPr>
          <w:rFonts w:ascii="Times New Roman" w:hAnsi="Times New Roman" w:eastAsia="宋体" w:cs="Times New Roman"/>
          <w:b/>
          <w:bCs/>
          <w:snapToGrid w:val="0"/>
          <w:spacing w:val="1"/>
          <w:kern w:val="0"/>
          <w:sz w:val="24"/>
          <w:szCs w:val="22"/>
          <w:u w:val="single"/>
          <w:lang w:eastAsia="en-US"/>
        </w:rPr>
        <w:t xml:space="preserve">                               </w:t>
      </w:r>
      <w:r>
        <w:rPr>
          <w:rFonts w:ascii="Times New Roman" w:hAnsi="Times New Roman" w:eastAsia="宋体" w:cs="Times New Roman"/>
          <w:b/>
          <w:bCs/>
          <w:snapToGrid w:val="0"/>
          <w:kern w:val="0"/>
          <w:sz w:val="24"/>
          <w:szCs w:val="22"/>
          <w:u w:val="single"/>
          <w:lang w:eastAsia="en-US"/>
        </w:rPr>
        <w:t xml:space="preserve">        </w:t>
      </w:r>
      <w:r>
        <w:rPr>
          <w:rFonts w:ascii="Times New Roman" w:hAnsi="Times New Roman" w:eastAsia="宋体" w:cs="Times New Roman"/>
          <w:b/>
          <w:bCs/>
          <w:snapToGrid w:val="0"/>
          <w:spacing w:val="36"/>
          <w:w w:val="101"/>
          <w:kern w:val="0"/>
          <w:sz w:val="24"/>
          <w:szCs w:val="22"/>
          <w:lang w:eastAsia="en-US"/>
        </w:rPr>
        <w:t xml:space="preserve"> </w:t>
      </w:r>
    </w:p>
    <w:p w14:paraId="238B6DD8">
      <w:pPr>
        <w:kinsoku w:val="0"/>
        <w:autoSpaceDE w:val="0"/>
        <w:autoSpaceDN w:val="0"/>
        <w:adjustRightInd w:val="0"/>
        <w:spacing w:line="360" w:lineRule="auto"/>
        <w:ind w:firstLine="476" w:firstLineChars="200"/>
        <w:textAlignment w:val="baseline"/>
        <w:rPr>
          <w:rFonts w:ascii="Times New Roman" w:hAnsi="Times New Roman" w:eastAsia="宋体" w:cs="Times New Roman"/>
          <w:snapToGrid w:val="0"/>
          <w:kern w:val="0"/>
          <w:sz w:val="24"/>
          <w:lang w:eastAsia="en-US"/>
        </w:rPr>
      </w:pPr>
      <w:r>
        <w:rPr>
          <w:rFonts w:ascii="Times New Roman" w:hAnsi="Times New Roman" w:eastAsia="宋体" w:cs="Times New Roman"/>
          <w:b/>
          <w:bCs/>
          <w:snapToGrid w:val="0"/>
          <w:spacing w:val="-1"/>
          <w:kern w:val="0"/>
          <w:position w:val="-2"/>
          <w:sz w:val="24"/>
          <w:lang w:eastAsia="en-US"/>
        </w:rPr>
        <w:t xml:space="preserve">Date: </w:t>
      </w:r>
      <w:r>
        <w:rPr>
          <w:rFonts w:ascii="Times New Roman" w:hAnsi="Times New Roman" w:eastAsia="宋体" w:cs="Times New Roman"/>
          <w:b/>
          <w:bCs/>
          <w:snapToGrid w:val="0"/>
          <w:spacing w:val="-1"/>
          <w:kern w:val="0"/>
          <w:position w:val="-2"/>
          <w:sz w:val="24"/>
          <w:u w:val="single"/>
          <w:lang w:eastAsia="en-US"/>
        </w:rPr>
        <w:t xml:space="preserve"> </w:t>
      </w:r>
      <w:r>
        <w:rPr>
          <w:rFonts w:ascii="Times New Roman" w:hAnsi="Times New Roman" w:eastAsia="宋体" w:cs="Times New Roman"/>
          <w:b/>
          <w:bCs/>
          <w:snapToGrid w:val="0"/>
          <w:spacing w:val="-1"/>
          <w:kern w:val="0"/>
          <w:position w:val="-2"/>
          <w:sz w:val="24"/>
          <w:u w:val="single"/>
        </w:rPr>
        <w:t xml:space="preserve">     </w:t>
      </w:r>
      <w:r>
        <w:rPr>
          <w:rFonts w:ascii="Times New Roman" w:hAnsi="Times New Roman" w:eastAsia="宋体" w:cs="Times New Roman"/>
          <w:b/>
          <w:bCs/>
          <w:snapToGrid w:val="0"/>
          <w:spacing w:val="-1"/>
          <w:kern w:val="0"/>
          <w:position w:val="-2"/>
          <w:sz w:val="24"/>
          <w:u w:val="single"/>
          <w:lang w:eastAsia="en-US"/>
        </w:rPr>
        <w:t xml:space="preserve">                                      </w:t>
      </w:r>
      <w:r>
        <w:rPr>
          <w:rFonts w:ascii="Times New Roman" w:hAnsi="Times New Roman" w:eastAsia="宋体" w:cs="Times New Roman"/>
          <w:b/>
          <w:bCs/>
          <w:snapToGrid w:val="0"/>
          <w:spacing w:val="-1"/>
          <w:kern w:val="0"/>
          <w:position w:val="-2"/>
          <w:sz w:val="24"/>
          <w:u w:val="single"/>
        </w:rPr>
        <w:t xml:space="preserve"> </w:t>
      </w:r>
      <w:r>
        <w:rPr>
          <w:rFonts w:ascii="Times New Roman" w:hAnsi="Times New Roman" w:eastAsia="宋体" w:cs="Times New Roman"/>
          <w:b/>
          <w:bCs/>
          <w:snapToGrid w:val="0"/>
          <w:spacing w:val="-1"/>
          <w:kern w:val="0"/>
          <w:position w:val="-2"/>
          <w:sz w:val="24"/>
          <w:u w:val="single"/>
          <w:lang w:eastAsia="en-US"/>
        </w:rPr>
        <w:t xml:space="preserve">          </w:t>
      </w:r>
    </w:p>
    <w:p w14:paraId="7AB9354C">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br w:type="page"/>
      </w:r>
    </w:p>
    <w:p w14:paraId="4E7B4F16">
      <w:pPr>
        <w:spacing w:line="360" w:lineRule="auto"/>
        <w:ind w:firstLineChars="200"/>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Table of Contents</w:t>
      </w:r>
    </w:p>
    <w:p w14:paraId="45A06929">
      <w:pPr>
        <w:pStyle w:val="11"/>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b/>
        </w:rPr>
        <w:fldChar w:fldCharType="begin"/>
      </w:r>
      <w:r>
        <w:rPr>
          <w:rFonts w:ascii="Times New Roman" w:hAnsi="Times New Roman" w:cs="Times New Roman"/>
          <w:b/>
        </w:rPr>
        <w:instrText xml:space="preserve">TOC \o "1-3" \h \u </w:instrText>
      </w:r>
      <w:r>
        <w:rPr>
          <w:rFonts w:ascii="Times New Roman" w:hAnsi="Times New Roman" w:cs="Times New Roman"/>
          <w:b/>
        </w:rPr>
        <w:fldChar w:fldCharType="separate"/>
      </w: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_Toc1542499833 </w:instrText>
      </w:r>
      <w:r>
        <w:rPr>
          <w:rFonts w:ascii="Times New Roman" w:hAnsi="Times New Roman" w:cs="Times New Roman"/>
          <w:sz w:val="22"/>
          <w:szCs w:val="28"/>
        </w:rPr>
        <w:fldChar w:fldCharType="separate"/>
      </w:r>
      <w:r>
        <w:rPr>
          <w:rFonts w:ascii="Times New Roman" w:hAnsi="Times New Roman" w:cs="Times New Roman"/>
          <w:sz w:val="22"/>
          <w:szCs w:val="28"/>
        </w:rPr>
        <w:t>1 Background</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_Toc1542499833 \h </w:instrText>
      </w:r>
      <w:r>
        <w:rPr>
          <w:rFonts w:ascii="Times New Roman" w:hAnsi="Times New Roman" w:cs="Times New Roman"/>
          <w:sz w:val="22"/>
          <w:szCs w:val="28"/>
        </w:rPr>
        <w:fldChar w:fldCharType="separate"/>
      </w:r>
      <w:r>
        <w:rPr>
          <w:rFonts w:ascii="Times New Roman" w:hAnsi="Times New Roman" w:cs="Times New Roman"/>
          <w:sz w:val="22"/>
          <w:szCs w:val="28"/>
        </w:rPr>
        <w:t>12</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08D6E070">
      <w:pPr>
        <w:pStyle w:val="11"/>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_Toc372106647 </w:instrText>
      </w:r>
      <w:r>
        <w:rPr>
          <w:rFonts w:ascii="Times New Roman" w:hAnsi="Times New Roman" w:cs="Times New Roman"/>
          <w:sz w:val="22"/>
          <w:szCs w:val="28"/>
        </w:rPr>
        <w:fldChar w:fldCharType="separate"/>
      </w:r>
      <w:r>
        <w:rPr>
          <w:rFonts w:ascii="Times New Roman" w:hAnsi="Times New Roman" w:cs="Times New Roman"/>
          <w:sz w:val="22"/>
          <w:szCs w:val="28"/>
        </w:rPr>
        <w:t>2 Objectives</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_Toc372106647 \h </w:instrText>
      </w:r>
      <w:r>
        <w:rPr>
          <w:rFonts w:ascii="Times New Roman" w:hAnsi="Times New Roman" w:cs="Times New Roman"/>
          <w:sz w:val="22"/>
          <w:szCs w:val="28"/>
        </w:rPr>
        <w:fldChar w:fldCharType="separate"/>
      </w:r>
      <w:r>
        <w:rPr>
          <w:rFonts w:ascii="Times New Roman" w:hAnsi="Times New Roman" w:cs="Times New Roman"/>
          <w:sz w:val="22"/>
          <w:szCs w:val="28"/>
        </w:rPr>
        <w:t>20</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2FE88FA2">
      <w:pPr>
        <w:pStyle w:val="8"/>
        <w:tabs>
          <w:tab w:val="right" w:leader="dot" w:pos="8306"/>
        </w:tabs>
        <w:spacing w:line="360" w:lineRule="auto"/>
        <w:ind w:firstLineChars="2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\l _Toc524036065 </w:instrText>
      </w:r>
      <w:r>
        <w:rPr>
          <w:rFonts w:ascii="Times New Roman" w:hAnsi="Times New Roman" w:cs="Times New Roman"/>
        </w:rPr>
        <w:fldChar w:fldCharType="separate"/>
      </w:r>
      <w:r>
        <w:rPr>
          <w:rFonts w:ascii="Times New Roman" w:hAnsi="Times New Roman" w:cs="Times New Roman"/>
        </w:rPr>
        <w:t>2.1 Study Objective</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_Toc524036065 \h </w:instrText>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fldChar w:fldCharType="end"/>
      </w:r>
    </w:p>
    <w:p w14:paraId="6FA21FCB">
      <w:pPr>
        <w:pStyle w:val="8"/>
        <w:tabs>
          <w:tab w:val="right" w:leader="dot" w:pos="8306"/>
        </w:tabs>
        <w:spacing w:line="360" w:lineRule="auto"/>
        <w:ind w:firstLineChars="2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\l _Toc643708108 </w:instrText>
      </w:r>
      <w:r>
        <w:rPr>
          <w:rFonts w:ascii="Times New Roman" w:hAnsi="Times New Roman" w:cs="Times New Roman"/>
        </w:rPr>
        <w:fldChar w:fldCharType="separate"/>
      </w:r>
      <w:r>
        <w:rPr>
          <w:rFonts w:ascii="Times New Roman" w:hAnsi="Times New Roman" w:cs="Times New Roman"/>
        </w:rPr>
        <w:t>2.2 Primary Endpoints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_Toc643708108 \h </w:instrText>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fldChar w:fldCharType="end"/>
      </w:r>
    </w:p>
    <w:p w14:paraId="0DCF037A">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_Toc1927041217 </w:instrText>
      </w:r>
      <w:r>
        <w:rPr>
          <w:rFonts w:ascii="Times New Roman" w:hAnsi="Times New Roman" w:cs="Times New Roman"/>
          <w:sz w:val="22"/>
          <w:szCs w:val="28"/>
        </w:rPr>
        <w:fldChar w:fldCharType="separate"/>
      </w:r>
      <w:r>
        <w:rPr>
          <w:rFonts w:ascii="Times New Roman" w:hAnsi="Times New Roman" w:cs="Times New Roman"/>
          <w:sz w:val="22"/>
          <w:szCs w:val="28"/>
        </w:rPr>
        <w:t>2.3 Secondary Endpoints</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_Toc1927041217 \h </w:instrText>
      </w:r>
      <w:r>
        <w:rPr>
          <w:rFonts w:ascii="Times New Roman" w:hAnsi="Times New Roman" w:cs="Times New Roman"/>
          <w:sz w:val="22"/>
          <w:szCs w:val="28"/>
        </w:rPr>
        <w:fldChar w:fldCharType="separate"/>
      </w:r>
      <w:r>
        <w:rPr>
          <w:rFonts w:ascii="Times New Roman" w:hAnsi="Times New Roman" w:cs="Times New Roman"/>
          <w:sz w:val="22"/>
          <w:szCs w:val="28"/>
        </w:rPr>
        <w:t>21</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7A1EF92B">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_Toc1580853712 </w:instrText>
      </w:r>
      <w:r>
        <w:rPr>
          <w:rFonts w:ascii="Times New Roman" w:hAnsi="Times New Roman" w:cs="Times New Roman"/>
          <w:sz w:val="22"/>
          <w:szCs w:val="28"/>
        </w:rPr>
        <w:fldChar w:fldCharType="separate"/>
      </w:r>
      <w:r>
        <w:rPr>
          <w:rFonts w:ascii="Times New Roman" w:hAnsi="Times New Roman" w:cs="Times New Roman"/>
          <w:sz w:val="22"/>
          <w:szCs w:val="28"/>
        </w:rPr>
        <w:t>2.4 Exploratory Endpoints</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_Toc1580853712 \h </w:instrText>
      </w:r>
      <w:r>
        <w:rPr>
          <w:rFonts w:ascii="Times New Roman" w:hAnsi="Times New Roman" w:cs="Times New Roman"/>
          <w:sz w:val="22"/>
          <w:szCs w:val="28"/>
        </w:rPr>
        <w:fldChar w:fldCharType="separate"/>
      </w:r>
      <w:r>
        <w:rPr>
          <w:rFonts w:ascii="Times New Roman" w:hAnsi="Times New Roman" w:cs="Times New Roman"/>
          <w:sz w:val="22"/>
          <w:szCs w:val="28"/>
        </w:rPr>
        <w:t>22</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168150BE">
      <w:pPr>
        <w:pStyle w:val="11"/>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_Toc740656900 </w:instrText>
      </w:r>
      <w:r>
        <w:rPr>
          <w:rFonts w:ascii="Times New Roman" w:hAnsi="Times New Roman" w:cs="Times New Roman"/>
          <w:sz w:val="22"/>
          <w:szCs w:val="28"/>
        </w:rPr>
        <w:fldChar w:fldCharType="separate"/>
      </w:r>
      <w:r>
        <w:rPr>
          <w:rFonts w:ascii="Times New Roman" w:hAnsi="Times New Roman" w:cs="Times New Roman"/>
          <w:sz w:val="22"/>
          <w:szCs w:val="28"/>
        </w:rPr>
        <w:t>3 Study Design</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_Toc740656900 \h </w:instrText>
      </w:r>
      <w:r>
        <w:rPr>
          <w:rFonts w:ascii="Times New Roman" w:hAnsi="Times New Roman" w:cs="Times New Roman"/>
          <w:sz w:val="22"/>
          <w:szCs w:val="28"/>
        </w:rPr>
        <w:fldChar w:fldCharType="separate"/>
      </w:r>
      <w:r>
        <w:rPr>
          <w:rFonts w:ascii="Times New Roman" w:hAnsi="Times New Roman" w:cs="Times New Roman"/>
          <w:sz w:val="22"/>
          <w:szCs w:val="28"/>
        </w:rPr>
        <w:t>22</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5908A23C">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_Toc1405300288 </w:instrText>
      </w:r>
      <w:r>
        <w:rPr>
          <w:rFonts w:ascii="Times New Roman" w:hAnsi="Times New Roman" w:cs="Times New Roman"/>
          <w:sz w:val="22"/>
          <w:szCs w:val="28"/>
        </w:rPr>
        <w:fldChar w:fldCharType="separate"/>
      </w:r>
      <w:r>
        <w:rPr>
          <w:rFonts w:ascii="Times New Roman" w:hAnsi="Times New Roman" w:cs="Times New Roman"/>
          <w:sz w:val="22"/>
          <w:szCs w:val="28"/>
        </w:rPr>
        <w:t>3.1 Study Design</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_Toc1405300288 \h </w:instrText>
      </w:r>
      <w:r>
        <w:rPr>
          <w:rFonts w:ascii="Times New Roman" w:hAnsi="Times New Roman" w:cs="Times New Roman"/>
          <w:sz w:val="22"/>
          <w:szCs w:val="28"/>
        </w:rPr>
        <w:fldChar w:fldCharType="separate"/>
      </w:r>
      <w:r>
        <w:rPr>
          <w:rFonts w:ascii="Times New Roman" w:hAnsi="Times New Roman" w:cs="Times New Roman"/>
          <w:sz w:val="22"/>
          <w:szCs w:val="28"/>
        </w:rPr>
        <w:t>22</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4499B00F">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_Toc856790710 </w:instrText>
      </w:r>
      <w:r>
        <w:rPr>
          <w:rFonts w:ascii="Times New Roman" w:hAnsi="Times New Roman" w:cs="Times New Roman"/>
          <w:sz w:val="22"/>
          <w:szCs w:val="28"/>
        </w:rPr>
        <w:fldChar w:fldCharType="separate"/>
      </w:r>
      <w:r>
        <w:rPr>
          <w:rFonts w:ascii="Times New Roman" w:hAnsi="Times New Roman" w:cs="Times New Roman"/>
          <w:sz w:val="22"/>
          <w:szCs w:val="28"/>
        </w:rPr>
        <w:t>3.2 Study Diagram</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_Toc856790710 \h </w:instrText>
      </w:r>
      <w:r>
        <w:rPr>
          <w:rFonts w:ascii="Times New Roman" w:hAnsi="Times New Roman" w:cs="Times New Roman"/>
          <w:sz w:val="22"/>
          <w:szCs w:val="28"/>
        </w:rPr>
        <w:fldChar w:fldCharType="separate"/>
      </w:r>
      <w:r>
        <w:rPr>
          <w:rFonts w:ascii="Times New Roman" w:hAnsi="Times New Roman" w:cs="Times New Roman"/>
          <w:sz w:val="22"/>
          <w:szCs w:val="28"/>
        </w:rPr>
        <w:t>23</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59D8A160">
      <w:pPr>
        <w:pStyle w:val="11"/>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_Toc1203609835 </w:instrText>
      </w:r>
      <w:r>
        <w:rPr>
          <w:rFonts w:ascii="Times New Roman" w:hAnsi="Times New Roman" w:cs="Times New Roman"/>
          <w:sz w:val="22"/>
          <w:szCs w:val="28"/>
        </w:rPr>
        <w:fldChar w:fldCharType="separate"/>
      </w:r>
      <w:r>
        <w:rPr>
          <w:rFonts w:ascii="Times New Roman" w:hAnsi="Times New Roman" w:cs="Times New Roman"/>
          <w:sz w:val="22"/>
          <w:szCs w:val="28"/>
        </w:rPr>
        <w:t>4 Patient Selection</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_Toc1203609835 \h </w:instrText>
      </w:r>
      <w:r>
        <w:rPr>
          <w:rFonts w:ascii="Times New Roman" w:hAnsi="Times New Roman" w:cs="Times New Roman"/>
          <w:sz w:val="22"/>
          <w:szCs w:val="28"/>
        </w:rPr>
        <w:fldChar w:fldCharType="separate"/>
      </w:r>
      <w:r>
        <w:rPr>
          <w:rFonts w:ascii="Times New Roman" w:hAnsi="Times New Roman" w:cs="Times New Roman"/>
          <w:sz w:val="22"/>
          <w:szCs w:val="28"/>
        </w:rPr>
        <w:t>23</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43600486">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_Toc1922025752 </w:instrText>
      </w:r>
      <w:r>
        <w:rPr>
          <w:rFonts w:ascii="Times New Roman" w:hAnsi="Times New Roman" w:cs="Times New Roman"/>
          <w:sz w:val="22"/>
          <w:szCs w:val="28"/>
        </w:rPr>
        <w:fldChar w:fldCharType="separate"/>
      </w:r>
      <w:r>
        <w:rPr>
          <w:rFonts w:ascii="Times New Roman" w:hAnsi="Times New Roman" w:cs="Times New Roman"/>
          <w:sz w:val="22"/>
          <w:szCs w:val="28"/>
        </w:rPr>
        <w:t>4.1 Inclusion Criteria</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_Toc1922025752 \h </w:instrText>
      </w:r>
      <w:r>
        <w:rPr>
          <w:rFonts w:ascii="Times New Roman" w:hAnsi="Times New Roman" w:cs="Times New Roman"/>
          <w:sz w:val="22"/>
          <w:szCs w:val="28"/>
        </w:rPr>
        <w:fldChar w:fldCharType="separate"/>
      </w:r>
      <w:r>
        <w:rPr>
          <w:rFonts w:ascii="Times New Roman" w:hAnsi="Times New Roman" w:cs="Times New Roman"/>
          <w:sz w:val="22"/>
          <w:szCs w:val="28"/>
        </w:rPr>
        <w:t>23</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3EE6815E">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_Toc1037795690 </w:instrText>
      </w:r>
      <w:r>
        <w:rPr>
          <w:rFonts w:ascii="Times New Roman" w:hAnsi="Times New Roman" w:cs="Times New Roman"/>
          <w:sz w:val="22"/>
          <w:szCs w:val="28"/>
        </w:rPr>
        <w:fldChar w:fldCharType="separate"/>
      </w:r>
      <w:r>
        <w:rPr>
          <w:rFonts w:ascii="Times New Roman" w:hAnsi="Times New Roman" w:cs="Times New Roman"/>
          <w:sz w:val="22"/>
          <w:szCs w:val="28"/>
        </w:rPr>
        <w:t>4.2 Exclusion Criteria</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_Toc1037795690 \h </w:instrText>
      </w:r>
      <w:r>
        <w:rPr>
          <w:rFonts w:ascii="Times New Roman" w:hAnsi="Times New Roman" w:cs="Times New Roman"/>
          <w:sz w:val="22"/>
          <w:szCs w:val="28"/>
        </w:rPr>
        <w:fldChar w:fldCharType="separate"/>
      </w:r>
      <w:r>
        <w:rPr>
          <w:rFonts w:ascii="Times New Roman" w:hAnsi="Times New Roman" w:cs="Times New Roman"/>
          <w:sz w:val="22"/>
          <w:szCs w:val="28"/>
        </w:rPr>
        <w:t>26</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3484186D">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_Toc1303761007 </w:instrText>
      </w:r>
      <w:r>
        <w:rPr>
          <w:rFonts w:ascii="Times New Roman" w:hAnsi="Times New Roman" w:cs="Times New Roman"/>
          <w:sz w:val="22"/>
          <w:szCs w:val="28"/>
        </w:rPr>
        <w:fldChar w:fldCharType="separate"/>
      </w:r>
      <w:r>
        <w:rPr>
          <w:rFonts w:ascii="Times New Roman" w:hAnsi="Times New Roman" w:cs="Times New Roman"/>
          <w:sz w:val="22"/>
          <w:szCs w:val="28"/>
        </w:rPr>
        <w:t>4.3 Lifestyle Considerations</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_Toc1303761007 \h </w:instrText>
      </w:r>
      <w:r>
        <w:rPr>
          <w:rFonts w:ascii="Times New Roman" w:hAnsi="Times New Roman" w:cs="Times New Roman"/>
          <w:sz w:val="22"/>
          <w:szCs w:val="28"/>
        </w:rPr>
        <w:fldChar w:fldCharType="separate"/>
      </w:r>
      <w:r>
        <w:rPr>
          <w:rFonts w:ascii="Times New Roman" w:hAnsi="Times New Roman" w:cs="Times New Roman"/>
          <w:sz w:val="22"/>
          <w:szCs w:val="28"/>
        </w:rPr>
        <w:t>29</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1EE32E07">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_Toc450385216 </w:instrText>
      </w:r>
      <w:r>
        <w:rPr>
          <w:rFonts w:ascii="Times New Roman" w:hAnsi="Times New Roman" w:cs="Times New Roman"/>
          <w:sz w:val="22"/>
          <w:szCs w:val="28"/>
        </w:rPr>
        <w:fldChar w:fldCharType="separate"/>
      </w:r>
      <w:r>
        <w:rPr>
          <w:rFonts w:ascii="Times New Roman" w:hAnsi="Times New Roman" w:cs="Times New Roman"/>
          <w:sz w:val="22"/>
          <w:szCs w:val="28"/>
        </w:rPr>
        <w:t>4.4 Participant Replacement Strategy</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_Toc450385216 \h </w:instrText>
      </w:r>
      <w:r>
        <w:rPr>
          <w:rFonts w:ascii="Times New Roman" w:hAnsi="Times New Roman" w:cs="Times New Roman"/>
          <w:sz w:val="22"/>
          <w:szCs w:val="28"/>
        </w:rPr>
        <w:fldChar w:fldCharType="separate"/>
      </w:r>
      <w:r>
        <w:rPr>
          <w:rFonts w:ascii="Times New Roman" w:hAnsi="Times New Roman" w:cs="Times New Roman"/>
          <w:sz w:val="22"/>
          <w:szCs w:val="28"/>
        </w:rPr>
        <w:t>30</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7E466ECB">
      <w:pPr>
        <w:pStyle w:val="11"/>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_Toc1891953284 </w:instrText>
      </w:r>
      <w:r>
        <w:rPr>
          <w:rFonts w:ascii="Times New Roman" w:hAnsi="Times New Roman" w:cs="Times New Roman"/>
          <w:sz w:val="22"/>
          <w:szCs w:val="28"/>
        </w:rPr>
        <w:fldChar w:fldCharType="separate"/>
      </w:r>
      <w:r>
        <w:rPr>
          <w:rFonts w:ascii="Times New Roman" w:hAnsi="Times New Roman" w:cs="Times New Roman"/>
          <w:sz w:val="22"/>
          <w:szCs w:val="28"/>
        </w:rPr>
        <w:t>5 Patient Enrollment</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_Toc1891953284 \h </w:instrText>
      </w:r>
      <w:r>
        <w:rPr>
          <w:rFonts w:ascii="Times New Roman" w:hAnsi="Times New Roman" w:cs="Times New Roman"/>
          <w:sz w:val="22"/>
          <w:szCs w:val="28"/>
        </w:rPr>
        <w:fldChar w:fldCharType="separate"/>
      </w:r>
      <w:r>
        <w:rPr>
          <w:rFonts w:ascii="Times New Roman" w:hAnsi="Times New Roman" w:cs="Times New Roman"/>
          <w:sz w:val="22"/>
          <w:szCs w:val="28"/>
        </w:rPr>
        <w:t>30</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16FED52C">
      <w:pPr>
        <w:pStyle w:val="11"/>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_Toc268483059 </w:instrText>
      </w:r>
      <w:r>
        <w:rPr>
          <w:rFonts w:ascii="Times New Roman" w:hAnsi="Times New Roman" w:cs="Times New Roman"/>
          <w:sz w:val="22"/>
          <w:szCs w:val="28"/>
        </w:rPr>
        <w:fldChar w:fldCharType="separate"/>
      </w:r>
      <w:r>
        <w:rPr>
          <w:rFonts w:ascii="Times New Roman" w:hAnsi="Times New Roman" w:cs="Times New Roman"/>
          <w:sz w:val="22"/>
          <w:szCs w:val="28"/>
        </w:rPr>
        <w:t>6 Data and Specimen Submission</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_Toc268483059 \h </w:instrText>
      </w:r>
      <w:r>
        <w:rPr>
          <w:rFonts w:ascii="Times New Roman" w:hAnsi="Times New Roman" w:cs="Times New Roman"/>
          <w:sz w:val="22"/>
          <w:szCs w:val="28"/>
        </w:rPr>
        <w:fldChar w:fldCharType="separate"/>
      </w:r>
      <w:r>
        <w:rPr>
          <w:rFonts w:ascii="Times New Roman" w:hAnsi="Times New Roman" w:cs="Times New Roman"/>
          <w:sz w:val="22"/>
          <w:szCs w:val="28"/>
        </w:rPr>
        <w:t>31</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44077190">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_Toc531630266 </w:instrText>
      </w:r>
      <w:r>
        <w:rPr>
          <w:rFonts w:ascii="Times New Roman" w:hAnsi="Times New Roman" w:cs="Times New Roman"/>
          <w:sz w:val="22"/>
          <w:szCs w:val="28"/>
        </w:rPr>
        <w:fldChar w:fldCharType="separate"/>
      </w:r>
      <w:r>
        <w:rPr>
          <w:rFonts w:ascii="Times New Roman" w:hAnsi="Times New Roman" w:cs="Times New Roman"/>
          <w:sz w:val="22"/>
          <w:szCs w:val="28"/>
        </w:rPr>
        <w:t>6.1 Data Collection and submission</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_Toc531630266 \h </w:instrText>
      </w:r>
      <w:r>
        <w:rPr>
          <w:rFonts w:ascii="Times New Roman" w:hAnsi="Times New Roman" w:cs="Times New Roman"/>
          <w:sz w:val="22"/>
          <w:szCs w:val="28"/>
        </w:rPr>
        <w:fldChar w:fldCharType="separate"/>
      </w:r>
      <w:r>
        <w:rPr>
          <w:rFonts w:ascii="Times New Roman" w:hAnsi="Times New Roman" w:cs="Times New Roman"/>
          <w:sz w:val="22"/>
          <w:szCs w:val="28"/>
        </w:rPr>
        <w:t>31</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63990C7B">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_Toc1577909142 </w:instrText>
      </w:r>
      <w:r>
        <w:rPr>
          <w:rFonts w:ascii="Times New Roman" w:hAnsi="Times New Roman" w:cs="Times New Roman"/>
          <w:sz w:val="22"/>
          <w:szCs w:val="28"/>
        </w:rPr>
        <w:fldChar w:fldCharType="separate"/>
      </w:r>
      <w:r>
        <w:rPr>
          <w:rFonts w:ascii="Times New Roman" w:hAnsi="Times New Roman" w:cs="Times New Roman"/>
          <w:sz w:val="22"/>
          <w:szCs w:val="28"/>
        </w:rPr>
        <w:t>6.2 Biospecimen Collection</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_Toc1577909142 \h </w:instrText>
      </w:r>
      <w:r>
        <w:rPr>
          <w:rFonts w:ascii="Times New Roman" w:hAnsi="Times New Roman" w:cs="Times New Roman"/>
          <w:sz w:val="22"/>
          <w:szCs w:val="28"/>
        </w:rPr>
        <w:fldChar w:fldCharType="separate"/>
      </w:r>
      <w:r>
        <w:rPr>
          <w:rFonts w:ascii="Times New Roman" w:hAnsi="Times New Roman" w:cs="Times New Roman"/>
          <w:sz w:val="22"/>
          <w:szCs w:val="28"/>
        </w:rPr>
        <w:t>31</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0492DD5C">
      <w:pPr>
        <w:pStyle w:val="11"/>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_Toc643392791 </w:instrText>
      </w:r>
      <w:r>
        <w:rPr>
          <w:rFonts w:ascii="Times New Roman" w:hAnsi="Times New Roman" w:cs="Times New Roman"/>
          <w:sz w:val="22"/>
          <w:szCs w:val="28"/>
        </w:rPr>
        <w:fldChar w:fldCharType="separate"/>
      </w:r>
      <w:r>
        <w:rPr>
          <w:rFonts w:ascii="Times New Roman" w:hAnsi="Times New Roman" w:cs="Times New Roman"/>
          <w:sz w:val="22"/>
          <w:szCs w:val="28"/>
        </w:rPr>
        <w:t>7 Schedule of Assessments</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_Toc643392791 \h </w:instrText>
      </w:r>
      <w:r>
        <w:rPr>
          <w:rFonts w:ascii="Times New Roman" w:hAnsi="Times New Roman" w:cs="Times New Roman"/>
          <w:sz w:val="22"/>
          <w:szCs w:val="28"/>
        </w:rPr>
        <w:fldChar w:fldCharType="separate"/>
      </w:r>
      <w:r>
        <w:rPr>
          <w:rFonts w:ascii="Times New Roman" w:hAnsi="Times New Roman" w:cs="Times New Roman"/>
          <w:sz w:val="22"/>
          <w:szCs w:val="28"/>
        </w:rPr>
        <w:t>32</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5B33B5E6">
      <w:pPr>
        <w:pStyle w:val="11"/>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_Toc922475692 </w:instrText>
      </w:r>
      <w:r>
        <w:rPr>
          <w:rFonts w:ascii="Times New Roman" w:hAnsi="Times New Roman" w:cs="Times New Roman"/>
          <w:sz w:val="22"/>
          <w:szCs w:val="28"/>
        </w:rPr>
        <w:fldChar w:fldCharType="separate"/>
      </w:r>
      <w:r>
        <w:rPr>
          <w:rFonts w:ascii="Times New Roman" w:hAnsi="Times New Roman" w:cs="Times New Roman"/>
          <w:sz w:val="22"/>
          <w:szCs w:val="28"/>
        </w:rPr>
        <w:t>8 Study Assessments and Procedures</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_Toc922475692 \h </w:instrText>
      </w:r>
      <w:r>
        <w:rPr>
          <w:rFonts w:ascii="Times New Roman" w:hAnsi="Times New Roman" w:cs="Times New Roman"/>
          <w:sz w:val="22"/>
          <w:szCs w:val="28"/>
        </w:rPr>
        <w:fldChar w:fldCharType="separate"/>
      </w:r>
      <w:r>
        <w:rPr>
          <w:rFonts w:ascii="Times New Roman" w:hAnsi="Times New Roman" w:cs="Times New Roman"/>
          <w:sz w:val="22"/>
          <w:szCs w:val="28"/>
        </w:rPr>
        <w:t>37</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0A899A72">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_Toc1364507751 </w:instrText>
      </w:r>
      <w:r>
        <w:rPr>
          <w:rFonts w:ascii="Times New Roman" w:hAnsi="Times New Roman" w:cs="Times New Roman"/>
          <w:sz w:val="22"/>
          <w:szCs w:val="28"/>
        </w:rPr>
        <w:fldChar w:fldCharType="separate"/>
      </w:r>
      <w:r>
        <w:rPr>
          <w:rFonts w:ascii="Times New Roman" w:hAnsi="Times New Roman" w:cs="Times New Roman"/>
          <w:sz w:val="22"/>
          <w:szCs w:val="28"/>
        </w:rPr>
        <w:t>8.1 Medical History</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_Toc1364507751 \h </w:instrText>
      </w:r>
      <w:r>
        <w:rPr>
          <w:rFonts w:ascii="Times New Roman" w:hAnsi="Times New Roman" w:cs="Times New Roman"/>
          <w:sz w:val="22"/>
          <w:szCs w:val="28"/>
        </w:rPr>
        <w:fldChar w:fldCharType="separate"/>
      </w:r>
      <w:r>
        <w:rPr>
          <w:rFonts w:ascii="Times New Roman" w:hAnsi="Times New Roman" w:cs="Times New Roman"/>
          <w:sz w:val="22"/>
          <w:szCs w:val="28"/>
        </w:rPr>
        <w:t>38</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5D1A3B9B">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_Toc303904744 </w:instrText>
      </w:r>
      <w:r>
        <w:rPr>
          <w:rFonts w:ascii="Times New Roman" w:hAnsi="Times New Roman" w:cs="Times New Roman"/>
          <w:sz w:val="22"/>
          <w:szCs w:val="28"/>
        </w:rPr>
        <w:fldChar w:fldCharType="separate"/>
      </w:r>
      <w:r>
        <w:rPr>
          <w:rFonts w:ascii="Times New Roman" w:hAnsi="Times New Roman" w:cs="Times New Roman"/>
          <w:sz w:val="22"/>
          <w:szCs w:val="28"/>
        </w:rPr>
        <w:t>8.2 Physical Examination and Vital Signs</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_Toc303904744 \h </w:instrText>
      </w:r>
      <w:r>
        <w:rPr>
          <w:rFonts w:ascii="Times New Roman" w:hAnsi="Times New Roman" w:cs="Times New Roman"/>
          <w:sz w:val="22"/>
          <w:szCs w:val="28"/>
        </w:rPr>
        <w:fldChar w:fldCharType="separate"/>
      </w:r>
      <w:r>
        <w:rPr>
          <w:rFonts w:ascii="Times New Roman" w:hAnsi="Times New Roman" w:cs="Times New Roman"/>
          <w:sz w:val="22"/>
          <w:szCs w:val="28"/>
        </w:rPr>
        <w:t>38</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20FD9C5C">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_Toc1010919842 </w:instrText>
      </w:r>
      <w:r>
        <w:rPr>
          <w:rFonts w:ascii="Times New Roman" w:hAnsi="Times New Roman" w:cs="Times New Roman"/>
          <w:sz w:val="22"/>
          <w:szCs w:val="28"/>
        </w:rPr>
        <w:fldChar w:fldCharType="separate"/>
      </w:r>
      <w:r>
        <w:rPr>
          <w:rFonts w:ascii="Times New Roman" w:hAnsi="Times New Roman" w:cs="Times New Roman"/>
          <w:sz w:val="22"/>
          <w:szCs w:val="28"/>
        </w:rPr>
        <w:t>8.3 Laboratory Assessments</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_Toc1010919842 \h </w:instrText>
      </w:r>
      <w:r>
        <w:rPr>
          <w:rFonts w:ascii="Times New Roman" w:hAnsi="Times New Roman" w:cs="Times New Roman"/>
          <w:sz w:val="22"/>
          <w:szCs w:val="28"/>
        </w:rPr>
        <w:fldChar w:fldCharType="separate"/>
      </w:r>
      <w:r>
        <w:rPr>
          <w:rFonts w:ascii="Times New Roman" w:hAnsi="Times New Roman" w:cs="Times New Roman"/>
          <w:sz w:val="22"/>
          <w:szCs w:val="28"/>
        </w:rPr>
        <w:t>39</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06D2CD01">
      <w:pPr>
        <w:pStyle w:val="11"/>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_Toc1786653077 </w:instrText>
      </w:r>
      <w:r>
        <w:rPr>
          <w:rFonts w:ascii="Times New Roman" w:hAnsi="Times New Roman" w:cs="Times New Roman"/>
          <w:sz w:val="22"/>
          <w:szCs w:val="28"/>
        </w:rPr>
        <w:fldChar w:fldCharType="separate"/>
      </w:r>
      <w:r>
        <w:rPr>
          <w:rFonts w:ascii="Times New Roman" w:hAnsi="Times New Roman" w:cs="Times New Roman"/>
          <w:sz w:val="22"/>
          <w:szCs w:val="28"/>
        </w:rPr>
        <w:t>9 Treatment</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_Toc1786653077 \h </w:instrText>
      </w:r>
      <w:r>
        <w:rPr>
          <w:rFonts w:ascii="Times New Roman" w:hAnsi="Times New Roman" w:cs="Times New Roman"/>
          <w:sz w:val="22"/>
          <w:szCs w:val="28"/>
        </w:rPr>
        <w:fldChar w:fldCharType="separate"/>
      </w:r>
      <w:r>
        <w:rPr>
          <w:rFonts w:ascii="Times New Roman" w:hAnsi="Times New Roman" w:cs="Times New Roman"/>
          <w:sz w:val="22"/>
          <w:szCs w:val="28"/>
        </w:rPr>
        <w:t>40</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59B0FB6A">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_Toc14429138 </w:instrText>
      </w:r>
      <w:r>
        <w:rPr>
          <w:rFonts w:ascii="Times New Roman" w:hAnsi="Times New Roman" w:cs="Times New Roman"/>
          <w:sz w:val="22"/>
          <w:szCs w:val="28"/>
        </w:rPr>
        <w:fldChar w:fldCharType="separate"/>
      </w:r>
      <w:r>
        <w:rPr>
          <w:rFonts w:ascii="Times New Roman" w:hAnsi="Times New Roman" w:cs="Times New Roman"/>
          <w:sz w:val="22"/>
          <w:szCs w:val="28"/>
        </w:rPr>
        <w:t>9.1 Treatment plan</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_Toc14429138 \h </w:instrText>
      </w:r>
      <w:r>
        <w:rPr>
          <w:rFonts w:ascii="Times New Roman" w:hAnsi="Times New Roman" w:cs="Times New Roman"/>
          <w:sz w:val="22"/>
          <w:szCs w:val="28"/>
        </w:rPr>
        <w:fldChar w:fldCharType="separate"/>
      </w:r>
      <w:r>
        <w:rPr>
          <w:rFonts w:ascii="Times New Roman" w:hAnsi="Times New Roman" w:cs="Times New Roman"/>
          <w:sz w:val="22"/>
          <w:szCs w:val="28"/>
        </w:rPr>
        <w:t>40</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36781B22">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_Toc1992353902 </w:instrText>
      </w:r>
      <w:r>
        <w:rPr>
          <w:rFonts w:ascii="Times New Roman" w:hAnsi="Times New Roman" w:cs="Times New Roman"/>
          <w:sz w:val="22"/>
          <w:szCs w:val="28"/>
        </w:rPr>
        <w:fldChar w:fldCharType="separate"/>
      </w:r>
      <w:r>
        <w:rPr>
          <w:rFonts w:ascii="Times New Roman" w:hAnsi="Times New Roman" w:cs="Times New Roman"/>
          <w:sz w:val="22"/>
          <w:szCs w:val="28"/>
        </w:rPr>
        <w:t>9.2 Radiotherapy</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_Toc1992353902 \h </w:instrText>
      </w:r>
      <w:r>
        <w:rPr>
          <w:rFonts w:ascii="Times New Roman" w:hAnsi="Times New Roman" w:cs="Times New Roman"/>
          <w:sz w:val="22"/>
          <w:szCs w:val="28"/>
        </w:rPr>
        <w:fldChar w:fldCharType="separate"/>
      </w:r>
      <w:r>
        <w:rPr>
          <w:rFonts w:ascii="Times New Roman" w:hAnsi="Times New Roman" w:cs="Times New Roman"/>
          <w:sz w:val="22"/>
          <w:szCs w:val="28"/>
        </w:rPr>
        <w:t>41</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70133783">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_Toc1251382707 </w:instrText>
      </w:r>
      <w:r>
        <w:rPr>
          <w:rFonts w:ascii="Times New Roman" w:hAnsi="Times New Roman" w:cs="Times New Roman"/>
          <w:sz w:val="22"/>
          <w:szCs w:val="28"/>
        </w:rPr>
        <w:fldChar w:fldCharType="separate"/>
      </w:r>
      <w:r>
        <w:rPr>
          <w:rFonts w:ascii="Times New Roman" w:hAnsi="Times New Roman" w:cs="Times New Roman"/>
          <w:sz w:val="22"/>
          <w:szCs w:val="28"/>
        </w:rPr>
        <w:t>9.3 Chemotherapy and immunotherapy</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_Toc1251382707 \h </w:instrText>
      </w:r>
      <w:r>
        <w:rPr>
          <w:rFonts w:ascii="Times New Roman" w:hAnsi="Times New Roman" w:cs="Times New Roman"/>
          <w:sz w:val="22"/>
          <w:szCs w:val="28"/>
        </w:rPr>
        <w:fldChar w:fldCharType="separate"/>
      </w:r>
      <w:r>
        <w:rPr>
          <w:rFonts w:ascii="Times New Roman" w:hAnsi="Times New Roman" w:cs="Times New Roman"/>
          <w:sz w:val="22"/>
          <w:szCs w:val="28"/>
        </w:rPr>
        <w:t>46</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644EFA5A">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_Toc1400745785 </w:instrText>
      </w:r>
      <w:r>
        <w:rPr>
          <w:rFonts w:ascii="Times New Roman" w:hAnsi="Times New Roman" w:cs="Times New Roman"/>
          <w:sz w:val="22"/>
          <w:szCs w:val="28"/>
        </w:rPr>
        <w:fldChar w:fldCharType="separate"/>
      </w:r>
      <w:r>
        <w:rPr>
          <w:rFonts w:ascii="Times New Roman" w:hAnsi="Times New Roman" w:cs="Times New Roman"/>
          <w:sz w:val="22"/>
          <w:szCs w:val="28"/>
        </w:rPr>
        <w:t>9.4 Concomitant Medications</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_Toc1400745785 \h </w:instrText>
      </w:r>
      <w:r>
        <w:rPr>
          <w:rFonts w:ascii="Times New Roman" w:hAnsi="Times New Roman" w:cs="Times New Roman"/>
          <w:sz w:val="22"/>
          <w:szCs w:val="28"/>
        </w:rPr>
        <w:fldChar w:fldCharType="separate"/>
      </w:r>
      <w:r>
        <w:rPr>
          <w:rFonts w:ascii="Times New Roman" w:hAnsi="Times New Roman" w:cs="Times New Roman"/>
          <w:sz w:val="22"/>
          <w:szCs w:val="28"/>
        </w:rPr>
        <w:t>48</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304DD6B1">
      <w:pPr>
        <w:pStyle w:val="11"/>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_Toc174945897 </w:instrText>
      </w:r>
      <w:r>
        <w:rPr>
          <w:rFonts w:ascii="Times New Roman" w:hAnsi="Times New Roman" w:cs="Times New Roman"/>
          <w:sz w:val="22"/>
          <w:szCs w:val="28"/>
        </w:rPr>
        <w:fldChar w:fldCharType="separate"/>
      </w:r>
      <w:r>
        <w:rPr>
          <w:rFonts w:ascii="Times New Roman" w:hAnsi="Times New Roman" w:cs="Times New Roman"/>
          <w:sz w:val="22"/>
          <w:szCs w:val="28"/>
        </w:rPr>
        <w:t>10 Dose and Treatment Modifications</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_Toc174945897 \h </w:instrText>
      </w:r>
      <w:r>
        <w:rPr>
          <w:rFonts w:ascii="Times New Roman" w:hAnsi="Times New Roman" w:cs="Times New Roman"/>
          <w:sz w:val="22"/>
          <w:szCs w:val="28"/>
        </w:rPr>
        <w:fldChar w:fldCharType="separate"/>
      </w:r>
      <w:r>
        <w:rPr>
          <w:rFonts w:ascii="Times New Roman" w:hAnsi="Times New Roman" w:cs="Times New Roman"/>
          <w:sz w:val="22"/>
          <w:szCs w:val="28"/>
        </w:rPr>
        <w:t>51</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31448C95">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_Toc410578136 </w:instrText>
      </w:r>
      <w:r>
        <w:rPr>
          <w:rFonts w:ascii="Times New Roman" w:hAnsi="Times New Roman" w:cs="Times New Roman"/>
          <w:sz w:val="22"/>
          <w:szCs w:val="28"/>
        </w:rPr>
        <w:fldChar w:fldCharType="separate"/>
      </w:r>
      <w:r>
        <w:rPr>
          <w:rFonts w:ascii="Times New Roman" w:hAnsi="Times New Roman" w:cs="Times New Roman"/>
          <w:sz w:val="22"/>
          <w:szCs w:val="28"/>
        </w:rPr>
        <w:t>10.1 Immunetherapy Dose Modifications</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_Toc410578136 \h </w:instrText>
      </w:r>
      <w:r>
        <w:rPr>
          <w:rFonts w:ascii="Times New Roman" w:hAnsi="Times New Roman" w:cs="Times New Roman"/>
          <w:sz w:val="22"/>
          <w:szCs w:val="28"/>
        </w:rPr>
        <w:fldChar w:fldCharType="separate"/>
      </w:r>
      <w:r>
        <w:rPr>
          <w:rFonts w:ascii="Times New Roman" w:hAnsi="Times New Roman" w:cs="Times New Roman"/>
          <w:sz w:val="22"/>
          <w:szCs w:val="28"/>
        </w:rPr>
        <w:t>51</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427CF162">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_Toc721773941 </w:instrText>
      </w:r>
      <w:r>
        <w:rPr>
          <w:rFonts w:ascii="Times New Roman" w:hAnsi="Times New Roman" w:cs="Times New Roman"/>
          <w:sz w:val="22"/>
          <w:szCs w:val="28"/>
        </w:rPr>
        <w:fldChar w:fldCharType="separate"/>
      </w:r>
      <w:r>
        <w:rPr>
          <w:rFonts w:ascii="Times New Roman" w:hAnsi="Times New Roman" w:cs="Times New Roman"/>
          <w:sz w:val="22"/>
          <w:szCs w:val="28"/>
        </w:rPr>
        <w:t>10.2 Chemotherapy Dose Modifications</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_Toc721773941 \h </w:instrText>
      </w:r>
      <w:r>
        <w:rPr>
          <w:rFonts w:ascii="Times New Roman" w:hAnsi="Times New Roman" w:cs="Times New Roman"/>
          <w:sz w:val="22"/>
          <w:szCs w:val="28"/>
        </w:rPr>
        <w:fldChar w:fldCharType="separate"/>
      </w:r>
      <w:r>
        <w:rPr>
          <w:rFonts w:ascii="Times New Roman" w:hAnsi="Times New Roman" w:cs="Times New Roman"/>
          <w:sz w:val="22"/>
          <w:szCs w:val="28"/>
        </w:rPr>
        <w:t>53</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3E367099">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_Toc1866988131 </w:instrText>
      </w:r>
      <w:r>
        <w:rPr>
          <w:rFonts w:ascii="Times New Roman" w:hAnsi="Times New Roman" w:cs="Times New Roman"/>
          <w:sz w:val="22"/>
          <w:szCs w:val="28"/>
        </w:rPr>
        <w:fldChar w:fldCharType="separate"/>
      </w:r>
      <w:r>
        <w:rPr>
          <w:rFonts w:ascii="Times New Roman" w:hAnsi="Times New Roman" w:cs="Times New Roman"/>
          <w:sz w:val="22"/>
          <w:szCs w:val="28"/>
        </w:rPr>
        <w:t>10.3 Radiotherapy Dose Modification</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_Toc1866988131 \h </w:instrText>
      </w:r>
      <w:r>
        <w:rPr>
          <w:rFonts w:ascii="Times New Roman" w:hAnsi="Times New Roman" w:cs="Times New Roman"/>
          <w:sz w:val="22"/>
          <w:szCs w:val="28"/>
        </w:rPr>
        <w:fldChar w:fldCharType="separate"/>
      </w:r>
      <w:r>
        <w:rPr>
          <w:rFonts w:ascii="Times New Roman" w:hAnsi="Times New Roman" w:cs="Times New Roman"/>
          <w:sz w:val="22"/>
          <w:szCs w:val="28"/>
        </w:rPr>
        <w:t>53</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5FBC40ED">
      <w:pPr>
        <w:pStyle w:val="11"/>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_Toc1585951400 </w:instrText>
      </w:r>
      <w:r>
        <w:rPr>
          <w:rFonts w:ascii="Times New Roman" w:hAnsi="Times New Roman" w:cs="Times New Roman"/>
          <w:sz w:val="22"/>
          <w:szCs w:val="28"/>
        </w:rPr>
        <w:fldChar w:fldCharType="separate"/>
      </w:r>
      <w:r>
        <w:rPr>
          <w:rFonts w:ascii="Times New Roman" w:hAnsi="Times New Roman" w:cs="Times New Roman"/>
          <w:sz w:val="22"/>
          <w:szCs w:val="28"/>
        </w:rPr>
        <w:t>11 End of Treatment and Follow-up</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_Toc1585951400 \h </w:instrText>
      </w:r>
      <w:r>
        <w:rPr>
          <w:rFonts w:ascii="Times New Roman" w:hAnsi="Times New Roman" w:cs="Times New Roman"/>
          <w:sz w:val="22"/>
          <w:szCs w:val="28"/>
        </w:rPr>
        <w:fldChar w:fldCharType="separate"/>
      </w:r>
      <w:r>
        <w:rPr>
          <w:rFonts w:ascii="Times New Roman" w:hAnsi="Times New Roman" w:cs="Times New Roman"/>
          <w:sz w:val="22"/>
          <w:szCs w:val="28"/>
        </w:rPr>
        <w:t>54</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489D8CC0">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_Toc518153236 </w:instrText>
      </w:r>
      <w:r>
        <w:rPr>
          <w:rFonts w:ascii="Times New Roman" w:hAnsi="Times New Roman" w:cs="Times New Roman"/>
          <w:sz w:val="22"/>
          <w:szCs w:val="28"/>
        </w:rPr>
        <w:fldChar w:fldCharType="separate"/>
      </w:r>
      <w:r>
        <w:rPr>
          <w:rFonts w:ascii="Times New Roman" w:hAnsi="Times New Roman" w:cs="Times New Roman"/>
          <w:sz w:val="22"/>
          <w:szCs w:val="28"/>
        </w:rPr>
        <w:t>11.1 Discontinuation of Study Treatment</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_Toc518153236 \h </w:instrText>
      </w:r>
      <w:r>
        <w:rPr>
          <w:rFonts w:ascii="Times New Roman" w:hAnsi="Times New Roman" w:cs="Times New Roman"/>
          <w:sz w:val="22"/>
          <w:szCs w:val="28"/>
        </w:rPr>
        <w:fldChar w:fldCharType="separate"/>
      </w:r>
      <w:r>
        <w:rPr>
          <w:rFonts w:ascii="Times New Roman" w:hAnsi="Times New Roman" w:cs="Times New Roman"/>
          <w:sz w:val="22"/>
          <w:szCs w:val="28"/>
        </w:rPr>
        <w:t>54</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44253E12">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_Toc555248867 </w:instrText>
      </w:r>
      <w:r>
        <w:rPr>
          <w:rFonts w:ascii="Times New Roman" w:hAnsi="Times New Roman" w:cs="Times New Roman"/>
          <w:sz w:val="22"/>
          <w:szCs w:val="28"/>
        </w:rPr>
        <w:fldChar w:fldCharType="separate"/>
      </w:r>
      <w:r>
        <w:rPr>
          <w:rFonts w:ascii="Times New Roman" w:hAnsi="Times New Roman" w:cs="Times New Roman"/>
          <w:sz w:val="22"/>
          <w:szCs w:val="28"/>
        </w:rPr>
        <w:t>11.2 Participant Withdrawal From the Study</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_Toc555248867 \h </w:instrText>
      </w:r>
      <w:r>
        <w:rPr>
          <w:rFonts w:ascii="Times New Roman" w:hAnsi="Times New Roman" w:cs="Times New Roman"/>
          <w:sz w:val="22"/>
          <w:szCs w:val="28"/>
        </w:rPr>
        <w:fldChar w:fldCharType="separate"/>
      </w:r>
      <w:r>
        <w:rPr>
          <w:rFonts w:ascii="Times New Roman" w:hAnsi="Times New Roman" w:cs="Times New Roman"/>
          <w:sz w:val="22"/>
          <w:szCs w:val="28"/>
        </w:rPr>
        <w:t>55</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6D5CFA82">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_Toc1251261454 </w:instrText>
      </w:r>
      <w:r>
        <w:rPr>
          <w:rFonts w:ascii="Times New Roman" w:hAnsi="Times New Roman" w:cs="Times New Roman"/>
          <w:sz w:val="22"/>
          <w:szCs w:val="28"/>
        </w:rPr>
        <w:fldChar w:fldCharType="separate"/>
      </w:r>
      <w:r>
        <w:rPr>
          <w:rFonts w:ascii="Times New Roman" w:hAnsi="Times New Roman" w:cs="Times New Roman"/>
          <w:sz w:val="22"/>
          <w:szCs w:val="28"/>
        </w:rPr>
        <w:t>11.3 Lost to Follow-up</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_Toc1251261454 \h </w:instrText>
      </w:r>
      <w:r>
        <w:rPr>
          <w:rFonts w:ascii="Times New Roman" w:hAnsi="Times New Roman" w:cs="Times New Roman"/>
          <w:sz w:val="22"/>
          <w:szCs w:val="28"/>
        </w:rPr>
        <w:fldChar w:fldCharType="separate"/>
      </w:r>
      <w:r>
        <w:rPr>
          <w:rFonts w:ascii="Times New Roman" w:hAnsi="Times New Roman" w:cs="Times New Roman"/>
          <w:sz w:val="22"/>
          <w:szCs w:val="28"/>
        </w:rPr>
        <w:t>56</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4610D8F9">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_Toc1791385954 </w:instrText>
      </w:r>
      <w:r>
        <w:rPr>
          <w:rFonts w:ascii="Times New Roman" w:hAnsi="Times New Roman" w:cs="Times New Roman"/>
          <w:sz w:val="22"/>
          <w:szCs w:val="28"/>
        </w:rPr>
        <w:fldChar w:fldCharType="separate"/>
      </w:r>
      <w:r>
        <w:rPr>
          <w:rFonts w:ascii="Times New Roman" w:hAnsi="Times New Roman" w:cs="Times New Roman"/>
          <w:sz w:val="22"/>
          <w:szCs w:val="28"/>
        </w:rPr>
        <w:t>11.4 Safety Follow-up</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_Toc1791385954 \h </w:instrText>
      </w:r>
      <w:r>
        <w:rPr>
          <w:rFonts w:ascii="Times New Roman" w:hAnsi="Times New Roman" w:cs="Times New Roman"/>
          <w:sz w:val="22"/>
          <w:szCs w:val="28"/>
        </w:rPr>
        <w:fldChar w:fldCharType="separate"/>
      </w:r>
      <w:r>
        <w:rPr>
          <w:rFonts w:ascii="Times New Roman" w:hAnsi="Times New Roman" w:cs="Times New Roman"/>
          <w:sz w:val="22"/>
          <w:szCs w:val="28"/>
        </w:rPr>
        <w:t>56</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76EA7AD5">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_Toc102997938 </w:instrText>
      </w:r>
      <w:r>
        <w:rPr>
          <w:rFonts w:ascii="Times New Roman" w:hAnsi="Times New Roman" w:cs="Times New Roman"/>
          <w:sz w:val="22"/>
          <w:szCs w:val="28"/>
        </w:rPr>
        <w:fldChar w:fldCharType="separate"/>
      </w:r>
      <w:r>
        <w:rPr>
          <w:rFonts w:ascii="Times New Roman" w:hAnsi="Times New Roman" w:cs="Times New Roman"/>
          <w:sz w:val="22"/>
          <w:szCs w:val="28"/>
        </w:rPr>
        <w:t>11.5 Survival Follow-up</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_Toc102997938 \h </w:instrText>
      </w:r>
      <w:r>
        <w:rPr>
          <w:rFonts w:ascii="Times New Roman" w:hAnsi="Times New Roman" w:cs="Times New Roman"/>
          <w:sz w:val="22"/>
          <w:szCs w:val="28"/>
        </w:rPr>
        <w:fldChar w:fldCharType="separate"/>
      </w:r>
      <w:r>
        <w:rPr>
          <w:rFonts w:ascii="Times New Roman" w:hAnsi="Times New Roman" w:cs="Times New Roman"/>
          <w:sz w:val="22"/>
          <w:szCs w:val="28"/>
        </w:rPr>
        <w:t>57</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320DD3A8">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_Toc214524484 </w:instrText>
      </w:r>
      <w:r>
        <w:rPr>
          <w:rFonts w:ascii="Times New Roman" w:hAnsi="Times New Roman" w:cs="Times New Roman"/>
          <w:sz w:val="22"/>
          <w:szCs w:val="28"/>
        </w:rPr>
        <w:fldChar w:fldCharType="separate"/>
      </w:r>
      <w:r>
        <w:rPr>
          <w:rFonts w:ascii="Times New Roman" w:hAnsi="Times New Roman" w:cs="Times New Roman"/>
          <w:sz w:val="22"/>
          <w:szCs w:val="28"/>
        </w:rPr>
        <w:t>11.6 Study Completion</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_Toc214524484 \h </w:instrText>
      </w:r>
      <w:r>
        <w:rPr>
          <w:rFonts w:ascii="Times New Roman" w:hAnsi="Times New Roman" w:cs="Times New Roman"/>
          <w:sz w:val="22"/>
          <w:szCs w:val="28"/>
        </w:rPr>
        <w:fldChar w:fldCharType="separate"/>
      </w:r>
      <w:r>
        <w:rPr>
          <w:rFonts w:ascii="Times New Roman" w:hAnsi="Times New Roman" w:cs="Times New Roman"/>
          <w:sz w:val="22"/>
          <w:szCs w:val="28"/>
        </w:rPr>
        <w:t>57</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1F8E1EC6">
      <w:pPr>
        <w:pStyle w:val="11"/>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_Toc2035442922 </w:instrText>
      </w:r>
      <w:r>
        <w:rPr>
          <w:rFonts w:ascii="Times New Roman" w:hAnsi="Times New Roman" w:cs="Times New Roman"/>
          <w:sz w:val="22"/>
          <w:szCs w:val="28"/>
        </w:rPr>
        <w:fldChar w:fldCharType="separate"/>
      </w:r>
      <w:r>
        <w:rPr>
          <w:rFonts w:ascii="Times New Roman" w:hAnsi="Times New Roman" w:cs="Times New Roman"/>
          <w:sz w:val="22"/>
          <w:szCs w:val="28"/>
        </w:rPr>
        <w:t>12 Measurement of Effect</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_Toc2035442922 \h </w:instrText>
      </w:r>
      <w:r>
        <w:rPr>
          <w:rFonts w:ascii="Times New Roman" w:hAnsi="Times New Roman" w:cs="Times New Roman"/>
          <w:sz w:val="22"/>
          <w:szCs w:val="28"/>
        </w:rPr>
        <w:fldChar w:fldCharType="separate"/>
      </w:r>
      <w:r>
        <w:rPr>
          <w:rFonts w:ascii="Times New Roman" w:hAnsi="Times New Roman" w:cs="Times New Roman"/>
          <w:sz w:val="22"/>
          <w:szCs w:val="28"/>
        </w:rPr>
        <w:t>57</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35F778DA">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_Toc274693344 </w:instrText>
      </w:r>
      <w:r>
        <w:rPr>
          <w:rFonts w:ascii="Times New Roman" w:hAnsi="Times New Roman" w:cs="Times New Roman"/>
          <w:sz w:val="22"/>
          <w:szCs w:val="28"/>
        </w:rPr>
        <w:fldChar w:fldCharType="separate"/>
      </w:r>
      <w:r>
        <w:rPr>
          <w:rFonts w:ascii="Times New Roman" w:hAnsi="Times New Roman" w:cs="Times New Roman"/>
          <w:sz w:val="22"/>
          <w:szCs w:val="28"/>
        </w:rPr>
        <w:t>12.1 Schedule of Evaluations</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_Toc274693344 \h </w:instrText>
      </w:r>
      <w:r>
        <w:rPr>
          <w:rFonts w:ascii="Times New Roman" w:hAnsi="Times New Roman" w:cs="Times New Roman"/>
          <w:sz w:val="22"/>
          <w:szCs w:val="28"/>
        </w:rPr>
        <w:fldChar w:fldCharType="separate"/>
      </w:r>
      <w:r>
        <w:rPr>
          <w:rFonts w:ascii="Times New Roman" w:hAnsi="Times New Roman" w:cs="Times New Roman"/>
          <w:sz w:val="22"/>
          <w:szCs w:val="28"/>
        </w:rPr>
        <w:t>58</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1843CE65">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_Toc1828675205 </w:instrText>
      </w:r>
      <w:r>
        <w:rPr>
          <w:rFonts w:ascii="Times New Roman" w:hAnsi="Times New Roman" w:cs="Times New Roman"/>
          <w:sz w:val="22"/>
          <w:szCs w:val="28"/>
        </w:rPr>
        <w:fldChar w:fldCharType="separate"/>
      </w:r>
      <w:r>
        <w:rPr>
          <w:rFonts w:ascii="Times New Roman" w:hAnsi="Times New Roman" w:cs="Times New Roman"/>
          <w:sz w:val="22"/>
          <w:szCs w:val="28"/>
        </w:rPr>
        <w:t>12.2 Definitions of Measurable and Non-Measurable Disease</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_Toc1828675205 \h </w:instrText>
      </w:r>
      <w:r>
        <w:rPr>
          <w:rFonts w:ascii="Times New Roman" w:hAnsi="Times New Roman" w:cs="Times New Roman"/>
          <w:sz w:val="22"/>
          <w:szCs w:val="28"/>
        </w:rPr>
        <w:fldChar w:fldCharType="separate"/>
      </w:r>
      <w:r>
        <w:rPr>
          <w:rFonts w:ascii="Times New Roman" w:hAnsi="Times New Roman" w:cs="Times New Roman"/>
          <w:sz w:val="22"/>
          <w:szCs w:val="28"/>
        </w:rPr>
        <w:t>58</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537667AF">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_Toc996633066 </w:instrText>
      </w:r>
      <w:r>
        <w:rPr>
          <w:rFonts w:ascii="Times New Roman" w:hAnsi="Times New Roman" w:cs="Times New Roman"/>
          <w:sz w:val="22"/>
          <w:szCs w:val="28"/>
        </w:rPr>
        <w:fldChar w:fldCharType="separate"/>
      </w:r>
      <w:r>
        <w:rPr>
          <w:rFonts w:ascii="Times New Roman" w:hAnsi="Times New Roman" w:cs="Times New Roman"/>
          <w:sz w:val="22"/>
          <w:szCs w:val="28"/>
        </w:rPr>
        <w:t>12.3 Guidelines for Evaluation of Measurable Disease</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_Toc996633066 \h </w:instrText>
      </w:r>
      <w:r>
        <w:rPr>
          <w:rFonts w:ascii="Times New Roman" w:hAnsi="Times New Roman" w:cs="Times New Roman"/>
          <w:sz w:val="22"/>
          <w:szCs w:val="28"/>
        </w:rPr>
        <w:fldChar w:fldCharType="separate"/>
      </w:r>
      <w:r>
        <w:rPr>
          <w:rFonts w:ascii="Times New Roman" w:hAnsi="Times New Roman" w:cs="Times New Roman"/>
          <w:sz w:val="22"/>
          <w:szCs w:val="28"/>
        </w:rPr>
        <w:t>59</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310AB531">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_Toc2029702362 </w:instrText>
      </w:r>
      <w:r>
        <w:rPr>
          <w:rFonts w:ascii="Times New Roman" w:hAnsi="Times New Roman" w:cs="Times New Roman"/>
          <w:sz w:val="22"/>
          <w:szCs w:val="28"/>
        </w:rPr>
        <w:fldChar w:fldCharType="separate"/>
      </w:r>
      <w:r>
        <w:rPr>
          <w:rFonts w:ascii="Times New Roman" w:hAnsi="Times New Roman" w:cs="Times New Roman"/>
          <w:sz w:val="22"/>
          <w:szCs w:val="28"/>
        </w:rPr>
        <w:t>12.4 Measurement of Treatment/Intervention Effect</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_Toc2029702362 \h </w:instrText>
      </w:r>
      <w:r>
        <w:rPr>
          <w:rFonts w:ascii="Times New Roman" w:hAnsi="Times New Roman" w:cs="Times New Roman"/>
          <w:sz w:val="22"/>
          <w:szCs w:val="28"/>
        </w:rPr>
        <w:fldChar w:fldCharType="separate"/>
      </w:r>
      <w:r>
        <w:rPr>
          <w:rFonts w:ascii="Times New Roman" w:hAnsi="Times New Roman" w:cs="Times New Roman"/>
          <w:sz w:val="22"/>
          <w:szCs w:val="28"/>
        </w:rPr>
        <w:t>61</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5D29F8CB">
      <w:pPr>
        <w:pStyle w:val="11"/>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_Toc368711420 </w:instrText>
      </w:r>
      <w:r>
        <w:rPr>
          <w:rFonts w:ascii="Times New Roman" w:hAnsi="Times New Roman" w:cs="Times New Roman"/>
          <w:sz w:val="22"/>
          <w:szCs w:val="28"/>
        </w:rPr>
        <w:fldChar w:fldCharType="separate"/>
      </w:r>
      <w:r>
        <w:rPr>
          <w:rFonts w:ascii="Times New Roman" w:hAnsi="Times New Roman" w:cs="Times New Roman"/>
          <w:sz w:val="22"/>
          <w:szCs w:val="28"/>
        </w:rPr>
        <w:t>13 Safety Instructions and Guidance</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_Toc368711420 \h </w:instrText>
      </w:r>
      <w:r>
        <w:rPr>
          <w:rFonts w:ascii="Times New Roman" w:hAnsi="Times New Roman" w:cs="Times New Roman"/>
          <w:sz w:val="22"/>
          <w:szCs w:val="28"/>
        </w:rPr>
        <w:fldChar w:fldCharType="separate"/>
      </w:r>
      <w:r>
        <w:rPr>
          <w:rFonts w:ascii="Times New Roman" w:hAnsi="Times New Roman" w:cs="Times New Roman"/>
          <w:sz w:val="22"/>
          <w:szCs w:val="28"/>
        </w:rPr>
        <w:t>65</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0FCBA0F8">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_Toc1442514345 </w:instrText>
      </w:r>
      <w:r>
        <w:rPr>
          <w:rFonts w:ascii="Times New Roman" w:hAnsi="Times New Roman" w:cs="Times New Roman"/>
          <w:sz w:val="22"/>
          <w:szCs w:val="28"/>
        </w:rPr>
        <w:fldChar w:fldCharType="separate"/>
      </w:r>
      <w:r>
        <w:rPr>
          <w:rFonts w:ascii="Times New Roman" w:hAnsi="Times New Roman" w:cs="Times New Roman"/>
          <w:sz w:val="22"/>
          <w:szCs w:val="28"/>
        </w:rPr>
        <w:t>13.1 Definition of Adverse Events</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_Toc1442514345 \h </w:instrText>
      </w:r>
      <w:r>
        <w:rPr>
          <w:rFonts w:ascii="Times New Roman" w:hAnsi="Times New Roman" w:cs="Times New Roman"/>
          <w:sz w:val="22"/>
          <w:szCs w:val="28"/>
        </w:rPr>
        <w:fldChar w:fldCharType="separate"/>
      </w:r>
      <w:r>
        <w:rPr>
          <w:rFonts w:ascii="Times New Roman" w:hAnsi="Times New Roman" w:cs="Times New Roman"/>
          <w:sz w:val="22"/>
          <w:szCs w:val="28"/>
        </w:rPr>
        <w:t>65</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7278618D">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_Toc1395705432 </w:instrText>
      </w:r>
      <w:r>
        <w:rPr>
          <w:rFonts w:ascii="Times New Roman" w:hAnsi="Times New Roman" w:cs="Times New Roman"/>
          <w:sz w:val="22"/>
          <w:szCs w:val="28"/>
        </w:rPr>
        <w:fldChar w:fldCharType="separate"/>
      </w:r>
      <w:r>
        <w:rPr>
          <w:rFonts w:ascii="Times New Roman" w:hAnsi="Times New Roman" w:cs="Times New Roman"/>
          <w:sz w:val="22"/>
          <w:szCs w:val="28"/>
        </w:rPr>
        <w:t>13.2 Definition of Serious Adverse Events</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_Toc1395705432 \h </w:instrText>
      </w:r>
      <w:r>
        <w:rPr>
          <w:rFonts w:ascii="Times New Roman" w:hAnsi="Times New Roman" w:cs="Times New Roman"/>
          <w:sz w:val="22"/>
          <w:szCs w:val="28"/>
        </w:rPr>
        <w:fldChar w:fldCharType="separate"/>
      </w:r>
      <w:r>
        <w:rPr>
          <w:rFonts w:ascii="Times New Roman" w:hAnsi="Times New Roman" w:cs="Times New Roman"/>
          <w:sz w:val="22"/>
          <w:szCs w:val="28"/>
        </w:rPr>
        <w:t>65</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2807CD49">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_Toc657319443 </w:instrText>
      </w:r>
      <w:r>
        <w:rPr>
          <w:rFonts w:ascii="Times New Roman" w:hAnsi="Times New Roman" w:cs="Times New Roman"/>
          <w:sz w:val="22"/>
          <w:szCs w:val="28"/>
        </w:rPr>
        <w:fldChar w:fldCharType="separate"/>
      </w:r>
      <w:r>
        <w:rPr>
          <w:rFonts w:ascii="Times New Roman" w:hAnsi="Times New Roman" w:cs="Times New Roman"/>
          <w:sz w:val="22"/>
          <w:szCs w:val="28"/>
        </w:rPr>
        <w:t>13.3 Adverse Event Assessment</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_Toc657319443 \h </w:instrText>
      </w:r>
      <w:r>
        <w:rPr>
          <w:rFonts w:ascii="Times New Roman" w:hAnsi="Times New Roman" w:cs="Times New Roman"/>
          <w:sz w:val="22"/>
          <w:szCs w:val="28"/>
        </w:rPr>
        <w:fldChar w:fldCharType="separate"/>
      </w:r>
      <w:r>
        <w:rPr>
          <w:rFonts w:ascii="Times New Roman" w:hAnsi="Times New Roman" w:cs="Times New Roman"/>
          <w:sz w:val="22"/>
          <w:szCs w:val="28"/>
        </w:rPr>
        <w:t>66</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14567639">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_Toc911998333 </w:instrText>
      </w:r>
      <w:r>
        <w:rPr>
          <w:rFonts w:ascii="Times New Roman" w:hAnsi="Times New Roman" w:cs="Times New Roman"/>
          <w:sz w:val="22"/>
          <w:szCs w:val="28"/>
        </w:rPr>
        <w:fldChar w:fldCharType="separate"/>
      </w:r>
      <w:r>
        <w:rPr>
          <w:rFonts w:ascii="Times New Roman" w:hAnsi="Times New Roman" w:cs="Times New Roman"/>
          <w:sz w:val="22"/>
          <w:szCs w:val="28"/>
        </w:rPr>
        <w:t>13.4 Recording of Adverse Events</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_Toc911998333 \h </w:instrText>
      </w:r>
      <w:r>
        <w:rPr>
          <w:rFonts w:ascii="Times New Roman" w:hAnsi="Times New Roman" w:cs="Times New Roman"/>
          <w:sz w:val="22"/>
          <w:szCs w:val="28"/>
        </w:rPr>
        <w:fldChar w:fldCharType="separate"/>
      </w:r>
      <w:r>
        <w:rPr>
          <w:rFonts w:ascii="Times New Roman" w:hAnsi="Times New Roman" w:cs="Times New Roman"/>
          <w:sz w:val="22"/>
          <w:szCs w:val="28"/>
        </w:rPr>
        <w:t>71</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737CF004">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_Toc1365194092 </w:instrText>
      </w:r>
      <w:r>
        <w:rPr>
          <w:rFonts w:ascii="Times New Roman" w:hAnsi="Times New Roman" w:cs="Times New Roman"/>
          <w:sz w:val="22"/>
          <w:szCs w:val="28"/>
        </w:rPr>
        <w:fldChar w:fldCharType="separate"/>
      </w:r>
      <w:r>
        <w:rPr>
          <w:rFonts w:ascii="Times New Roman" w:hAnsi="Times New Roman" w:cs="Times New Roman"/>
          <w:sz w:val="22"/>
          <w:szCs w:val="28"/>
        </w:rPr>
        <w:t>13.5 Adverse Events Collection Period</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_Toc1365194092 \h </w:instrText>
      </w:r>
      <w:r>
        <w:rPr>
          <w:rFonts w:ascii="Times New Roman" w:hAnsi="Times New Roman" w:cs="Times New Roman"/>
          <w:sz w:val="22"/>
          <w:szCs w:val="28"/>
        </w:rPr>
        <w:fldChar w:fldCharType="separate"/>
      </w:r>
      <w:r>
        <w:rPr>
          <w:rFonts w:ascii="Times New Roman" w:hAnsi="Times New Roman" w:cs="Times New Roman"/>
          <w:sz w:val="22"/>
          <w:szCs w:val="28"/>
        </w:rPr>
        <w:t>72</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66FB1375">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_Toc1101819696 </w:instrText>
      </w:r>
      <w:r>
        <w:rPr>
          <w:rFonts w:ascii="Times New Roman" w:hAnsi="Times New Roman" w:cs="Times New Roman"/>
          <w:sz w:val="22"/>
          <w:szCs w:val="28"/>
        </w:rPr>
        <w:fldChar w:fldCharType="separate"/>
      </w:r>
      <w:r>
        <w:rPr>
          <w:rFonts w:ascii="Times New Roman" w:hAnsi="Times New Roman" w:cs="Times New Roman"/>
          <w:sz w:val="22"/>
          <w:szCs w:val="28"/>
        </w:rPr>
        <w:t>13.6 Adverse Events Follow-Up</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_Toc1101819696 \h </w:instrText>
      </w:r>
      <w:r>
        <w:rPr>
          <w:rFonts w:ascii="Times New Roman" w:hAnsi="Times New Roman" w:cs="Times New Roman"/>
          <w:sz w:val="22"/>
          <w:szCs w:val="28"/>
        </w:rPr>
        <w:fldChar w:fldCharType="separate"/>
      </w:r>
      <w:r>
        <w:rPr>
          <w:rFonts w:ascii="Times New Roman" w:hAnsi="Times New Roman" w:cs="Times New Roman"/>
          <w:sz w:val="22"/>
          <w:szCs w:val="28"/>
        </w:rPr>
        <w:t>72</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486115C3">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_Toc532142591 </w:instrText>
      </w:r>
      <w:r>
        <w:rPr>
          <w:rFonts w:ascii="Times New Roman" w:hAnsi="Times New Roman" w:cs="Times New Roman"/>
          <w:sz w:val="22"/>
          <w:szCs w:val="28"/>
        </w:rPr>
        <w:fldChar w:fldCharType="separate"/>
      </w:r>
      <w:r>
        <w:rPr>
          <w:rFonts w:ascii="Times New Roman" w:hAnsi="Times New Roman" w:cs="Times New Roman"/>
          <w:sz w:val="22"/>
          <w:szCs w:val="28"/>
        </w:rPr>
        <w:t>13.7 Content of Adverse Events Documentation</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_Toc532142591 \h </w:instrText>
      </w:r>
      <w:r>
        <w:rPr>
          <w:rFonts w:ascii="Times New Roman" w:hAnsi="Times New Roman" w:cs="Times New Roman"/>
          <w:sz w:val="22"/>
          <w:szCs w:val="28"/>
        </w:rPr>
        <w:fldChar w:fldCharType="separate"/>
      </w:r>
      <w:r>
        <w:rPr>
          <w:rFonts w:ascii="Times New Roman" w:hAnsi="Times New Roman" w:cs="Times New Roman"/>
          <w:sz w:val="22"/>
          <w:szCs w:val="28"/>
        </w:rPr>
        <w:t>72</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3F363DA4">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_Toc985442290 </w:instrText>
      </w:r>
      <w:r>
        <w:rPr>
          <w:rFonts w:ascii="Times New Roman" w:hAnsi="Times New Roman" w:cs="Times New Roman"/>
          <w:sz w:val="22"/>
          <w:szCs w:val="28"/>
        </w:rPr>
        <w:fldChar w:fldCharType="separate"/>
      </w:r>
      <w:r>
        <w:rPr>
          <w:rFonts w:ascii="Times New Roman" w:hAnsi="Times New Roman" w:cs="Times New Roman"/>
          <w:sz w:val="22"/>
          <w:szCs w:val="28"/>
        </w:rPr>
        <w:t>13.8 Rapid Reporting of Serious Adverse Events and Pregnancy</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_Toc985442290 \h </w:instrText>
      </w:r>
      <w:r>
        <w:rPr>
          <w:rFonts w:ascii="Times New Roman" w:hAnsi="Times New Roman" w:cs="Times New Roman"/>
          <w:sz w:val="22"/>
          <w:szCs w:val="28"/>
        </w:rPr>
        <w:fldChar w:fldCharType="separate"/>
      </w:r>
      <w:r>
        <w:rPr>
          <w:rFonts w:ascii="Times New Roman" w:hAnsi="Times New Roman" w:cs="Times New Roman"/>
          <w:sz w:val="22"/>
          <w:szCs w:val="28"/>
        </w:rPr>
        <w:t>75</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13B5502E">
      <w:pPr>
        <w:pStyle w:val="11"/>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_Toc86031137 </w:instrText>
      </w:r>
      <w:r>
        <w:rPr>
          <w:rFonts w:ascii="Times New Roman" w:hAnsi="Times New Roman" w:cs="Times New Roman"/>
          <w:sz w:val="22"/>
          <w:szCs w:val="28"/>
        </w:rPr>
        <w:fldChar w:fldCharType="separate"/>
      </w:r>
      <w:r>
        <w:rPr>
          <w:rFonts w:ascii="Times New Roman" w:hAnsi="Times New Roman" w:cs="Times New Roman"/>
          <w:sz w:val="22"/>
          <w:szCs w:val="28"/>
        </w:rPr>
        <w:t>14 Statistical Analysis Plan</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_Toc86031137 \h </w:instrText>
      </w:r>
      <w:r>
        <w:rPr>
          <w:rFonts w:ascii="Times New Roman" w:hAnsi="Times New Roman" w:cs="Times New Roman"/>
          <w:sz w:val="22"/>
          <w:szCs w:val="28"/>
        </w:rPr>
        <w:fldChar w:fldCharType="separate"/>
      </w:r>
      <w:r>
        <w:rPr>
          <w:rFonts w:ascii="Times New Roman" w:hAnsi="Times New Roman" w:cs="Times New Roman"/>
          <w:sz w:val="22"/>
          <w:szCs w:val="28"/>
        </w:rPr>
        <w:t>76</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20D2FE4E">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_Toc668825128 </w:instrText>
      </w:r>
      <w:r>
        <w:rPr>
          <w:rFonts w:ascii="Times New Roman" w:hAnsi="Times New Roman" w:cs="Times New Roman"/>
          <w:sz w:val="22"/>
          <w:szCs w:val="28"/>
        </w:rPr>
        <w:fldChar w:fldCharType="separate"/>
      </w:r>
      <w:r>
        <w:rPr>
          <w:rFonts w:ascii="Times New Roman" w:hAnsi="Times New Roman" w:cs="Times New Roman"/>
          <w:sz w:val="22"/>
          <w:szCs w:val="28"/>
        </w:rPr>
        <w:t>14.1 Overview of the Study Design</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_Toc668825128 \h </w:instrText>
      </w:r>
      <w:r>
        <w:rPr>
          <w:rFonts w:ascii="Times New Roman" w:hAnsi="Times New Roman" w:cs="Times New Roman"/>
          <w:sz w:val="22"/>
          <w:szCs w:val="28"/>
        </w:rPr>
        <w:fldChar w:fldCharType="separate"/>
      </w:r>
      <w:r>
        <w:rPr>
          <w:rFonts w:ascii="Times New Roman" w:hAnsi="Times New Roman" w:cs="Times New Roman"/>
          <w:sz w:val="22"/>
          <w:szCs w:val="28"/>
        </w:rPr>
        <w:t>76</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0646C028">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_Toc1014517898 </w:instrText>
      </w:r>
      <w:r>
        <w:rPr>
          <w:rFonts w:ascii="Times New Roman" w:hAnsi="Times New Roman" w:cs="Times New Roman"/>
          <w:sz w:val="22"/>
          <w:szCs w:val="28"/>
        </w:rPr>
        <w:fldChar w:fldCharType="separate"/>
      </w:r>
      <w:r>
        <w:rPr>
          <w:rFonts w:ascii="Times New Roman" w:hAnsi="Times New Roman" w:cs="Times New Roman"/>
          <w:sz w:val="22"/>
          <w:szCs w:val="28"/>
        </w:rPr>
        <w:t>14.2 Analysis Endpoints</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_Toc1014517898 \h </w:instrText>
      </w:r>
      <w:r>
        <w:rPr>
          <w:rFonts w:ascii="Times New Roman" w:hAnsi="Times New Roman" w:cs="Times New Roman"/>
          <w:sz w:val="22"/>
          <w:szCs w:val="28"/>
        </w:rPr>
        <w:fldChar w:fldCharType="separate"/>
      </w:r>
      <w:r>
        <w:rPr>
          <w:rFonts w:ascii="Times New Roman" w:hAnsi="Times New Roman" w:cs="Times New Roman"/>
          <w:sz w:val="22"/>
          <w:szCs w:val="28"/>
        </w:rPr>
        <w:t>76</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695F0C65">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_Toc1624357635 </w:instrText>
      </w:r>
      <w:r>
        <w:rPr>
          <w:rFonts w:ascii="Times New Roman" w:hAnsi="Times New Roman" w:cs="Times New Roman"/>
          <w:sz w:val="22"/>
          <w:szCs w:val="28"/>
        </w:rPr>
        <w:fldChar w:fldCharType="separate"/>
      </w:r>
      <w:r>
        <w:rPr>
          <w:rFonts w:ascii="Times New Roman" w:hAnsi="Times New Roman" w:cs="Times New Roman"/>
          <w:sz w:val="22"/>
          <w:szCs w:val="28"/>
        </w:rPr>
        <w:t>14.3 Analysis Populations</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_Toc1624357635 \h </w:instrText>
      </w:r>
      <w:r>
        <w:rPr>
          <w:rFonts w:ascii="Times New Roman" w:hAnsi="Times New Roman" w:cs="Times New Roman"/>
          <w:sz w:val="22"/>
          <w:szCs w:val="28"/>
        </w:rPr>
        <w:fldChar w:fldCharType="separate"/>
      </w:r>
      <w:r>
        <w:rPr>
          <w:rFonts w:ascii="Times New Roman" w:hAnsi="Times New Roman" w:cs="Times New Roman"/>
          <w:sz w:val="22"/>
          <w:szCs w:val="28"/>
        </w:rPr>
        <w:t>77</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5D5E63CE">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_Toc331007077 </w:instrText>
      </w:r>
      <w:r>
        <w:rPr>
          <w:rFonts w:ascii="Times New Roman" w:hAnsi="Times New Roman" w:cs="Times New Roman"/>
          <w:sz w:val="22"/>
          <w:szCs w:val="28"/>
        </w:rPr>
        <w:fldChar w:fldCharType="separate"/>
      </w:r>
      <w:r>
        <w:rPr>
          <w:rFonts w:ascii="Times New Roman" w:hAnsi="Times New Roman" w:cs="Times New Roman"/>
          <w:sz w:val="22"/>
          <w:szCs w:val="28"/>
        </w:rPr>
        <w:t>14.4 Statistical Methods</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_Toc331007077 \h </w:instrText>
      </w:r>
      <w:r>
        <w:rPr>
          <w:rFonts w:ascii="Times New Roman" w:hAnsi="Times New Roman" w:cs="Times New Roman"/>
          <w:sz w:val="22"/>
          <w:szCs w:val="28"/>
        </w:rPr>
        <w:fldChar w:fldCharType="separate"/>
      </w:r>
      <w:r>
        <w:rPr>
          <w:rFonts w:ascii="Times New Roman" w:hAnsi="Times New Roman" w:cs="Times New Roman"/>
          <w:sz w:val="22"/>
          <w:szCs w:val="28"/>
        </w:rPr>
        <w:t>78</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1F6181B5">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_Toc2098450535 </w:instrText>
      </w:r>
      <w:r>
        <w:rPr>
          <w:rFonts w:ascii="Times New Roman" w:hAnsi="Times New Roman" w:cs="Times New Roman"/>
          <w:sz w:val="22"/>
          <w:szCs w:val="28"/>
        </w:rPr>
        <w:fldChar w:fldCharType="separate"/>
      </w:r>
      <w:r>
        <w:rPr>
          <w:rFonts w:ascii="Times New Roman" w:hAnsi="Times New Roman" w:cs="Times New Roman"/>
          <w:sz w:val="22"/>
          <w:szCs w:val="28"/>
        </w:rPr>
        <w:t>14.6 Multiplicity</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_Toc2098450535 \h </w:instrText>
      </w:r>
      <w:r>
        <w:rPr>
          <w:rFonts w:ascii="Times New Roman" w:hAnsi="Times New Roman" w:cs="Times New Roman"/>
          <w:sz w:val="22"/>
          <w:szCs w:val="28"/>
        </w:rPr>
        <w:fldChar w:fldCharType="separate"/>
      </w:r>
      <w:r>
        <w:rPr>
          <w:rFonts w:ascii="Times New Roman" w:hAnsi="Times New Roman" w:cs="Times New Roman"/>
          <w:sz w:val="22"/>
          <w:szCs w:val="28"/>
        </w:rPr>
        <w:t>79</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05475F14">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_Toc534207064 </w:instrText>
      </w:r>
      <w:r>
        <w:rPr>
          <w:rFonts w:ascii="Times New Roman" w:hAnsi="Times New Roman" w:cs="Times New Roman"/>
          <w:sz w:val="22"/>
          <w:szCs w:val="28"/>
        </w:rPr>
        <w:fldChar w:fldCharType="separate"/>
      </w:r>
      <w:r>
        <w:rPr>
          <w:rFonts w:ascii="Times New Roman" w:hAnsi="Times New Roman" w:cs="Times New Roman"/>
          <w:sz w:val="22"/>
          <w:szCs w:val="28"/>
        </w:rPr>
        <w:t>14.7 Sample Size and Power Calculations</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_Toc534207064 \h </w:instrText>
      </w:r>
      <w:r>
        <w:rPr>
          <w:rFonts w:ascii="Times New Roman" w:hAnsi="Times New Roman" w:cs="Times New Roman"/>
          <w:sz w:val="22"/>
          <w:szCs w:val="28"/>
        </w:rPr>
        <w:fldChar w:fldCharType="separate"/>
      </w:r>
      <w:r>
        <w:rPr>
          <w:rFonts w:ascii="Times New Roman" w:hAnsi="Times New Roman" w:cs="Times New Roman"/>
          <w:sz w:val="22"/>
          <w:szCs w:val="28"/>
        </w:rPr>
        <w:t>80</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6D5FDD17">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_Toc1936480188 </w:instrText>
      </w:r>
      <w:r>
        <w:rPr>
          <w:rFonts w:ascii="Times New Roman" w:hAnsi="Times New Roman" w:cs="Times New Roman"/>
          <w:sz w:val="22"/>
          <w:szCs w:val="28"/>
        </w:rPr>
        <w:fldChar w:fldCharType="separate"/>
      </w:r>
      <w:r>
        <w:rPr>
          <w:rFonts w:ascii="Times New Roman" w:hAnsi="Times New Roman" w:cs="Times New Roman"/>
          <w:sz w:val="22"/>
          <w:szCs w:val="28"/>
        </w:rPr>
        <w:t>14.8 Safety Monitoring</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_Toc1936480188 \h </w:instrText>
      </w:r>
      <w:r>
        <w:rPr>
          <w:rFonts w:ascii="Times New Roman" w:hAnsi="Times New Roman" w:cs="Times New Roman"/>
          <w:sz w:val="22"/>
          <w:szCs w:val="28"/>
        </w:rPr>
        <w:fldChar w:fldCharType="separate"/>
      </w:r>
      <w:r>
        <w:rPr>
          <w:rFonts w:ascii="Times New Roman" w:hAnsi="Times New Roman" w:cs="Times New Roman"/>
          <w:sz w:val="22"/>
          <w:szCs w:val="28"/>
        </w:rPr>
        <w:t>81</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6F5CAEB5">
      <w:pPr>
        <w:pStyle w:val="11"/>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_Toc1307849431 </w:instrText>
      </w:r>
      <w:r>
        <w:rPr>
          <w:rFonts w:ascii="Times New Roman" w:hAnsi="Times New Roman" w:cs="Times New Roman"/>
          <w:sz w:val="22"/>
          <w:szCs w:val="28"/>
        </w:rPr>
        <w:fldChar w:fldCharType="separate"/>
      </w:r>
      <w:r>
        <w:rPr>
          <w:rFonts w:ascii="Times New Roman" w:hAnsi="Times New Roman" w:cs="Times New Roman"/>
          <w:sz w:val="22"/>
          <w:szCs w:val="28"/>
        </w:rPr>
        <w:t>15 General Regulatory and Other considerations</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_Toc1307849431 \h </w:instrText>
      </w:r>
      <w:r>
        <w:rPr>
          <w:rFonts w:ascii="Times New Roman" w:hAnsi="Times New Roman" w:cs="Times New Roman"/>
          <w:sz w:val="22"/>
          <w:szCs w:val="28"/>
        </w:rPr>
        <w:fldChar w:fldCharType="separate"/>
      </w:r>
      <w:r>
        <w:rPr>
          <w:rFonts w:ascii="Times New Roman" w:hAnsi="Times New Roman" w:cs="Times New Roman"/>
          <w:sz w:val="22"/>
          <w:szCs w:val="28"/>
        </w:rPr>
        <w:t>81</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0D7B1DE6">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_Toc1530259772 </w:instrText>
      </w:r>
      <w:r>
        <w:rPr>
          <w:rFonts w:ascii="Times New Roman" w:hAnsi="Times New Roman" w:cs="Times New Roman"/>
          <w:sz w:val="22"/>
          <w:szCs w:val="28"/>
        </w:rPr>
        <w:fldChar w:fldCharType="separate"/>
      </w:r>
      <w:r>
        <w:rPr>
          <w:rFonts w:ascii="Times New Roman" w:hAnsi="Times New Roman" w:cs="Times New Roman"/>
          <w:sz w:val="22"/>
          <w:szCs w:val="28"/>
        </w:rPr>
        <w:t>15.1 Compliance with Trial Registration and Results Posting Requirements</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_Toc1530259772 \h </w:instrText>
      </w:r>
      <w:r>
        <w:rPr>
          <w:rFonts w:ascii="Times New Roman" w:hAnsi="Times New Roman" w:cs="Times New Roman"/>
          <w:sz w:val="22"/>
          <w:szCs w:val="28"/>
        </w:rPr>
        <w:fldChar w:fldCharType="separate"/>
      </w:r>
      <w:r>
        <w:rPr>
          <w:rFonts w:ascii="Times New Roman" w:hAnsi="Times New Roman" w:cs="Times New Roman"/>
          <w:sz w:val="22"/>
          <w:szCs w:val="28"/>
        </w:rPr>
        <w:t>81</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56ABC262">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_Toc811831532 </w:instrText>
      </w:r>
      <w:r>
        <w:rPr>
          <w:rFonts w:ascii="Times New Roman" w:hAnsi="Times New Roman" w:cs="Times New Roman"/>
          <w:sz w:val="22"/>
          <w:szCs w:val="28"/>
        </w:rPr>
        <w:fldChar w:fldCharType="separate"/>
      </w:r>
      <w:r>
        <w:rPr>
          <w:rFonts w:ascii="Times New Roman" w:hAnsi="Times New Roman" w:cs="Times New Roman"/>
          <w:sz w:val="22"/>
          <w:szCs w:val="28"/>
        </w:rPr>
        <w:t>15.2 Regulatory and ethical compliance</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_Toc811831532 \h </w:instrText>
      </w:r>
      <w:r>
        <w:rPr>
          <w:rFonts w:ascii="Times New Roman" w:hAnsi="Times New Roman" w:cs="Times New Roman"/>
          <w:sz w:val="22"/>
          <w:szCs w:val="28"/>
        </w:rPr>
        <w:fldChar w:fldCharType="separate"/>
      </w:r>
      <w:r>
        <w:rPr>
          <w:rFonts w:ascii="Times New Roman" w:hAnsi="Times New Roman" w:cs="Times New Roman"/>
          <w:sz w:val="22"/>
          <w:szCs w:val="28"/>
        </w:rPr>
        <w:t>82</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32E07B9D">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_Toc1488948933 </w:instrText>
      </w:r>
      <w:r>
        <w:rPr>
          <w:rFonts w:ascii="Times New Roman" w:hAnsi="Times New Roman" w:cs="Times New Roman"/>
          <w:sz w:val="22"/>
          <w:szCs w:val="28"/>
        </w:rPr>
        <w:fldChar w:fldCharType="separate"/>
      </w:r>
      <w:r>
        <w:rPr>
          <w:rFonts w:ascii="Times New Roman" w:hAnsi="Times New Roman" w:cs="Times New Roman"/>
          <w:sz w:val="22"/>
          <w:szCs w:val="28"/>
        </w:rPr>
        <w:t>15.3 Ethics and Good Clinical Practice</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_Toc1488948933 \h </w:instrText>
      </w:r>
      <w:r>
        <w:rPr>
          <w:rFonts w:ascii="Times New Roman" w:hAnsi="Times New Roman" w:cs="Times New Roman"/>
          <w:sz w:val="22"/>
          <w:szCs w:val="28"/>
        </w:rPr>
        <w:fldChar w:fldCharType="separate"/>
      </w:r>
      <w:r>
        <w:rPr>
          <w:rFonts w:ascii="Times New Roman" w:hAnsi="Times New Roman" w:cs="Times New Roman"/>
          <w:sz w:val="22"/>
          <w:szCs w:val="28"/>
        </w:rPr>
        <w:t>82</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23984E65">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_Toc137778440 </w:instrText>
      </w:r>
      <w:r>
        <w:rPr>
          <w:rFonts w:ascii="Times New Roman" w:hAnsi="Times New Roman" w:cs="Times New Roman"/>
          <w:sz w:val="22"/>
          <w:szCs w:val="28"/>
        </w:rPr>
        <w:fldChar w:fldCharType="separate"/>
      </w:r>
      <w:r>
        <w:rPr>
          <w:rFonts w:ascii="Times New Roman" w:hAnsi="Times New Roman" w:cs="Times New Roman"/>
          <w:sz w:val="22"/>
          <w:szCs w:val="28"/>
        </w:rPr>
        <w:t>15.4 Confidentiality</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_Toc137778440 \h </w:instrText>
      </w:r>
      <w:r>
        <w:rPr>
          <w:rFonts w:ascii="Times New Roman" w:hAnsi="Times New Roman" w:cs="Times New Roman"/>
          <w:sz w:val="22"/>
          <w:szCs w:val="28"/>
        </w:rPr>
        <w:fldChar w:fldCharType="separate"/>
      </w:r>
      <w:r>
        <w:rPr>
          <w:rFonts w:ascii="Times New Roman" w:hAnsi="Times New Roman" w:cs="Times New Roman"/>
          <w:sz w:val="22"/>
          <w:szCs w:val="28"/>
        </w:rPr>
        <w:t>83</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4EDFAD3E">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_Toc654869614 </w:instrText>
      </w:r>
      <w:r>
        <w:rPr>
          <w:rFonts w:ascii="Times New Roman" w:hAnsi="Times New Roman" w:cs="Times New Roman"/>
          <w:sz w:val="22"/>
          <w:szCs w:val="28"/>
        </w:rPr>
        <w:fldChar w:fldCharType="separate"/>
      </w:r>
      <w:r>
        <w:rPr>
          <w:rFonts w:ascii="Times New Roman" w:hAnsi="Times New Roman" w:cs="Times New Roman"/>
          <w:sz w:val="22"/>
          <w:szCs w:val="28"/>
        </w:rPr>
        <w:t>15.5 Protocol Amendments</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_Toc654869614 \h </w:instrText>
      </w:r>
      <w:r>
        <w:rPr>
          <w:rFonts w:ascii="Times New Roman" w:hAnsi="Times New Roman" w:cs="Times New Roman"/>
          <w:sz w:val="22"/>
          <w:szCs w:val="28"/>
        </w:rPr>
        <w:fldChar w:fldCharType="separate"/>
      </w:r>
      <w:r>
        <w:rPr>
          <w:rFonts w:ascii="Times New Roman" w:hAnsi="Times New Roman" w:cs="Times New Roman"/>
          <w:sz w:val="22"/>
          <w:szCs w:val="28"/>
        </w:rPr>
        <w:t>83</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57C55B71">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_Toc539911623 </w:instrText>
      </w:r>
      <w:r>
        <w:rPr>
          <w:rFonts w:ascii="Times New Roman" w:hAnsi="Times New Roman" w:cs="Times New Roman"/>
          <w:sz w:val="22"/>
          <w:szCs w:val="28"/>
        </w:rPr>
        <w:fldChar w:fldCharType="separate"/>
      </w:r>
      <w:r>
        <w:rPr>
          <w:rFonts w:ascii="Times New Roman" w:hAnsi="Times New Roman" w:cs="Times New Roman"/>
          <w:sz w:val="22"/>
          <w:szCs w:val="28"/>
        </w:rPr>
        <w:t>15.6 Informed Consent</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_Toc539911623 \h </w:instrText>
      </w:r>
      <w:r>
        <w:rPr>
          <w:rFonts w:ascii="Times New Roman" w:hAnsi="Times New Roman" w:cs="Times New Roman"/>
          <w:sz w:val="22"/>
          <w:szCs w:val="28"/>
        </w:rPr>
        <w:fldChar w:fldCharType="separate"/>
      </w:r>
      <w:r>
        <w:rPr>
          <w:rFonts w:ascii="Times New Roman" w:hAnsi="Times New Roman" w:cs="Times New Roman"/>
          <w:sz w:val="22"/>
          <w:szCs w:val="28"/>
        </w:rPr>
        <w:t>83</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5B36D4F0">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_Toc1176239186 </w:instrText>
      </w:r>
      <w:r>
        <w:rPr>
          <w:rFonts w:ascii="Times New Roman" w:hAnsi="Times New Roman" w:cs="Times New Roman"/>
          <w:sz w:val="22"/>
          <w:szCs w:val="28"/>
        </w:rPr>
        <w:fldChar w:fldCharType="separate"/>
      </w:r>
      <w:r>
        <w:rPr>
          <w:rFonts w:ascii="Times New Roman" w:hAnsi="Times New Roman" w:cs="Times New Roman"/>
          <w:sz w:val="22"/>
          <w:szCs w:val="28"/>
        </w:rPr>
        <w:t>15.7 Financial Disclosure</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_Toc1176239186 \h </w:instrText>
      </w:r>
      <w:r>
        <w:rPr>
          <w:rFonts w:ascii="Times New Roman" w:hAnsi="Times New Roman" w:cs="Times New Roman"/>
          <w:sz w:val="22"/>
          <w:szCs w:val="28"/>
        </w:rPr>
        <w:fldChar w:fldCharType="separate"/>
      </w:r>
      <w:r>
        <w:rPr>
          <w:rFonts w:ascii="Times New Roman" w:hAnsi="Times New Roman" w:cs="Times New Roman"/>
          <w:sz w:val="22"/>
          <w:szCs w:val="28"/>
        </w:rPr>
        <w:t>84</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0DAA3FA9">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_Toc1465028467 </w:instrText>
      </w:r>
      <w:r>
        <w:rPr>
          <w:rFonts w:ascii="Times New Roman" w:hAnsi="Times New Roman" w:cs="Times New Roman"/>
          <w:sz w:val="22"/>
          <w:szCs w:val="28"/>
        </w:rPr>
        <w:fldChar w:fldCharType="separate"/>
      </w:r>
      <w:r>
        <w:rPr>
          <w:rFonts w:ascii="Times New Roman" w:hAnsi="Times New Roman" w:cs="Times New Roman"/>
          <w:sz w:val="22"/>
          <w:szCs w:val="28"/>
        </w:rPr>
        <w:t>15.8 Protocol Deviations</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_Toc1465028467 \h </w:instrText>
      </w:r>
      <w:r>
        <w:rPr>
          <w:rFonts w:ascii="Times New Roman" w:hAnsi="Times New Roman" w:cs="Times New Roman"/>
          <w:sz w:val="22"/>
          <w:szCs w:val="28"/>
        </w:rPr>
        <w:fldChar w:fldCharType="separate"/>
      </w:r>
      <w:r>
        <w:rPr>
          <w:rFonts w:ascii="Times New Roman" w:hAnsi="Times New Roman" w:cs="Times New Roman"/>
          <w:sz w:val="22"/>
          <w:szCs w:val="28"/>
        </w:rPr>
        <w:t>85</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384B3662">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_Toc1833432014 </w:instrText>
      </w:r>
      <w:r>
        <w:rPr>
          <w:rFonts w:ascii="Times New Roman" w:hAnsi="Times New Roman" w:cs="Times New Roman"/>
          <w:sz w:val="22"/>
          <w:szCs w:val="28"/>
        </w:rPr>
        <w:fldChar w:fldCharType="separate"/>
      </w:r>
      <w:r>
        <w:rPr>
          <w:rFonts w:ascii="Times New Roman" w:hAnsi="Times New Roman" w:cs="Times New Roman"/>
          <w:sz w:val="22"/>
          <w:szCs w:val="28"/>
        </w:rPr>
        <w:t>15.9 Retention of Records</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_Toc1833432014 \h </w:instrText>
      </w:r>
      <w:r>
        <w:rPr>
          <w:rFonts w:ascii="Times New Roman" w:hAnsi="Times New Roman" w:cs="Times New Roman"/>
          <w:sz w:val="22"/>
          <w:szCs w:val="28"/>
        </w:rPr>
        <w:fldChar w:fldCharType="separate"/>
      </w:r>
      <w:r>
        <w:rPr>
          <w:rFonts w:ascii="Times New Roman" w:hAnsi="Times New Roman" w:cs="Times New Roman"/>
          <w:sz w:val="22"/>
          <w:szCs w:val="28"/>
        </w:rPr>
        <w:t>85</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2712E11A">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_Toc249008495 </w:instrText>
      </w:r>
      <w:r>
        <w:rPr>
          <w:rFonts w:ascii="Times New Roman" w:hAnsi="Times New Roman" w:cs="Times New Roman"/>
          <w:sz w:val="22"/>
          <w:szCs w:val="28"/>
        </w:rPr>
        <w:fldChar w:fldCharType="separate"/>
      </w:r>
      <w:r>
        <w:rPr>
          <w:rFonts w:ascii="Times New Roman" w:hAnsi="Times New Roman" w:cs="Times New Roman"/>
          <w:sz w:val="22"/>
          <w:szCs w:val="28"/>
        </w:rPr>
        <w:t>15.10 Monitoring and Auditing</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_Toc249008495 \h </w:instrText>
      </w:r>
      <w:r>
        <w:rPr>
          <w:rFonts w:ascii="Times New Roman" w:hAnsi="Times New Roman" w:cs="Times New Roman"/>
          <w:sz w:val="22"/>
          <w:szCs w:val="28"/>
        </w:rPr>
        <w:fldChar w:fldCharType="separate"/>
      </w:r>
      <w:r>
        <w:rPr>
          <w:rFonts w:ascii="Times New Roman" w:hAnsi="Times New Roman" w:cs="Times New Roman"/>
          <w:sz w:val="22"/>
          <w:szCs w:val="28"/>
        </w:rPr>
        <w:t>85</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14074171">
      <w:pPr>
        <w:pStyle w:val="11"/>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_Toc1787631109 </w:instrText>
      </w:r>
      <w:r>
        <w:rPr>
          <w:rFonts w:ascii="Times New Roman" w:hAnsi="Times New Roman" w:cs="Times New Roman"/>
          <w:sz w:val="22"/>
          <w:szCs w:val="28"/>
        </w:rPr>
        <w:fldChar w:fldCharType="separate"/>
      </w:r>
      <w:r>
        <w:rPr>
          <w:rFonts w:ascii="Times New Roman" w:hAnsi="Times New Roman" w:cs="Times New Roman"/>
          <w:sz w:val="22"/>
          <w:szCs w:val="28"/>
        </w:rPr>
        <w:t>16 References</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_Toc1787631109 \h </w:instrText>
      </w:r>
      <w:r>
        <w:rPr>
          <w:rFonts w:ascii="Times New Roman" w:hAnsi="Times New Roman" w:cs="Times New Roman"/>
          <w:sz w:val="22"/>
          <w:szCs w:val="28"/>
        </w:rPr>
        <w:fldChar w:fldCharType="separate"/>
      </w:r>
      <w:r>
        <w:rPr>
          <w:rFonts w:ascii="Times New Roman" w:hAnsi="Times New Roman" w:cs="Times New Roman"/>
          <w:sz w:val="22"/>
          <w:szCs w:val="28"/>
        </w:rPr>
        <w:t>86</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1ED29AE9">
      <w:pPr>
        <w:pStyle w:val="11"/>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_Toc1419827433 </w:instrText>
      </w:r>
      <w:r>
        <w:rPr>
          <w:rFonts w:ascii="Times New Roman" w:hAnsi="Times New Roman" w:cs="Times New Roman"/>
          <w:sz w:val="22"/>
          <w:szCs w:val="28"/>
        </w:rPr>
        <w:fldChar w:fldCharType="separate"/>
      </w:r>
      <w:r>
        <w:rPr>
          <w:rFonts w:ascii="Times New Roman" w:hAnsi="Times New Roman" w:cs="Times New Roman"/>
          <w:sz w:val="22"/>
          <w:szCs w:val="28"/>
        </w:rPr>
        <w:t>17 Appendices</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_Toc1419827433 \h </w:instrText>
      </w:r>
      <w:r>
        <w:rPr>
          <w:rFonts w:ascii="Times New Roman" w:hAnsi="Times New Roman" w:cs="Times New Roman"/>
          <w:sz w:val="22"/>
          <w:szCs w:val="28"/>
        </w:rPr>
        <w:fldChar w:fldCharType="separate"/>
      </w:r>
      <w:r>
        <w:rPr>
          <w:rFonts w:ascii="Times New Roman" w:hAnsi="Times New Roman" w:cs="Times New Roman"/>
          <w:sz w:val="22"/>
          <w:szCs w:val="28"/>
        </w:rPr>
        <w:t>91</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62ADF44A">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_Toc201380967 </w:instrText>
      </w:r>
      <w:r>
        <w:rPr>
          <w:rFonts w:ascii="Times New Roman" w:hAnsi="Times New Roman" w:cs="Times New Roman"/>
          <w:sz w:val="22"/>
          <w:szCs w:val="28"/>
        </w:rPr>
        <w:fldChar w:fldCharType="separate"/>
      </w:r>
      <w:r>
        <w:rPr>
          <w:rFonts w:ascii="Times New Roman" w:hAnsi="Times New Roman" w:cs="Times New Roman"/>
          <w:sz w:val="22"/>
          <w:szCs w:val="28"/>
        </w:rPr>
        <w:t>Appendix 1. ECOG Performance Status</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_Toc201380967 \h </w:instrText>
      </w:r>
      <w:r>
        <w:rPr>
          <w:rFonts w:ascii="Times New Roman" w:hAnsi="Times New Roman" w:cs="Times New Roman"/>
          <w:sz w:val="22"/>
          <w:szCs w:val="28"/>
        </w:rPr>
        <w:fldChar w:fldCharType="separate"/>
      </w:r>
      <w:r>
        <w:rPr>
          <w:rFonts w:ascii="Times New Roman" w:hAnsi="Times New Roman" w:cs="Times New Roman"/>
          <w:sz w:val="22"/>
          <w:szCs w:val="28"/>
        </w:rPr>
        <w:t>91</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1BDD0CC3">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_Toc175684697 </w:instrText>
      </w:r>
      <w:r>
        <w:rPr>
          <w:rFonts w:ascii="Times New Roman" w:hAnsi="Times New Roman" w:cs="Times New Roman"/>
          <w:sz w:val="22"/>
          <w:szCs w:val="28"/>
        </w:rPr>
        <w:fldChar w:fldCharType="separate"/>
      </w:r>
      <w:r>
        <w:rPr>
          <w:rFonts w:ascii="Times New Roman" w:hAnsi="Times New Roman" w:cs="Times New Roman"/>
          <w:sz w:val="22"/>
          <w:szCs w:val="28"/>
        </w:rPr>
        <w:t>Appendix 2. Response Evaluation Criteria in Solid Tumors</w:t>
      </w:r>
      <w:r>
        <w:rPr>
          <w:rFonts w:hint="default" w:ascii="Times New Roman" w:hAnsi="Times New Roman" w:cs="Times New Roman"/>
          <w:sz w:val="22"/>
          <w:szCs w:val="28"/>
          <w:lang w:val="en-US"/>
        </w:rPr>
        <w:t xml:space="preserve"> </w:t>
      </w:r>
      <w:r>
        <w:rPr>
          <w:rFonts w:ascii="Times New Roman" w:hAnsi="Times New Roman" w:cs="Times New Roman"/>
          <w:sz w:val="22"/>
          <w:szCs w:val="28"/>
        </w:rPr>
        <w:t>Guideline, Version 1.1</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_Toc175684697 \h </w:instrText>
      </w:r>
      <w:r>
        <w:rPr>
          <w:rFonts w:ascii="Times New Roman" w:hAnsi="Times New Roman" w:cs="Times New Roman"/>
          <w:sz w:val="22"/>
          <w:szCs w:val="28"/>
        </w:rPr>
        <w:fldChar w:fldCharType="separate"/>
      </w:r>
      <w:r>
        <w:rPr>
          <w:rFonts w:ascii="Times New Roman" w:hAnsi="Times New Roman" w:cs="Times New Roman"/>
          <w:sz w:val="22"/>
          <w:szCs w:val="28"/>
        </w:rPr>
        <w:t>92</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1944CC92">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_Toc595634576 </w:instrText>
      </w:r>
      <w:r>
        <w:rPr>
          <w:rFonts w:ascii="Times New Roman" w:hAnsi="Times New Roman" w:cs="Times New Roman"/>
          <w:sz w:val="22"/>
          <w:szCs w:val="28"/>
        </w:rPr>
        <w:fldChar w:fldCharType="separate"/>
      </w:r>
      <w:r>
        <w:rPr>
          <w:rFonts w:ascii="Times New Roman" w:hAnsi="Times New Roman" w:cs="Times New Roman"/>
          <w:sz w:val="22"/>
          <w:szCs w:val="28"/>
        </w:rPr>
        <w:t>Appendix 3. Contraception Guidelines and Definitions of "Women of Childbearing Potential" and "Women Not of Childbearing Potential" Contraception Guidelines</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_Toc595634576 \h </w:instrText>
      </w:r>
      <w:r>
        <w:rPr>
          <w:rFonts w:ascii="Times New Roman" w:hAnsi="Times New Roman" w:cs="Times New Roman"/>
          <w:sz w:val="22"/>
          <w:szCs w:val="28"/>
        </w:rPr>
        <w:fldChar w:fldCharType="separate"/>
      </w:r>
      <w:r>
        <w:rPr>
          <w:rFonts w:ascii="Times New Roman" w:hAnsi="Times New Roman" w:cs="Times New Roman"/>
          <w:sz w:val="22"/>
          <w:szCs w:val="28"/>
        </w:rPr>
        <w:t>105</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7F4B6C88">
      <w:pPr>
        <w:pStyle w:val="8"/>
        <w:tabs>
          <w:tab w:val="right" w:leader="dot" w:pos="8306"/>
        </w:tabs>
        <w:spacing w:line="360" w:lineRule="auto"/>
        <w:ind w:firstLineChars="200"/>
        <w:rPr>
          <w:rFonts w:ascii="Times New Roman" w:hAnsi="Times New Roman" w:cs="Times New Roman"/>
          <w:sz w:val="22"/>
          <w:szCs w:val="28"/>
        </w:rPr>
      </w:pPr>
      <w:r>
        <w:rPr>
          <w:rFonts w:ascii="Times New Roman" w:hAnsi="Times New Roman" w:cs="Times New Roman"/>
          <w:sz w:val="22"/>
          <w:szCs w:val="28"/>
        </w:rPr>
        <w:fldChar w:fldCharType="begin"/>
      </w:r>
      <w:r>
        <w:rPr>
          <w:rFonts w:ascii="Times New Roman" w:hAnsi="Times New Roman" w:cs="Times New Roman"/>
          <w:sz w:val="22"/>
          <w:szCs w:val="28"/>
        </w:rPr>
        <w:instrText xml:space="preserve"> HYPERLINK \l _Toc1435877686 </w:instrText>
      </w:r>
      <w:r>
        <w:rPr>
          <w:rFonts w:ascii="Times New Roman" w:hAnsi="Times New Roman" w:cs="Times New Roman"/>
          <w:sz w:val="22"/>
          <w:szCs w:val="28"/>
        </w:rPr>
        <w:fldChar w:fldCharType="separate"/>
      </w:r>
      <w:r>
        <w:rPr>
          <w:rFonts w:ascii="Times New Roman" w:hAnsi="Times New Roman" w:cs="Times New Roman"/>
          <w:sz w:val="22"/>
          <w:szCs w:val="28"/>
        </w:rPr>
        <w:t>Appendix 4. Evaluation and Management of Immune-Related Adverse Events</w:t>
      </w:r>
      <w:r>
        <w:rPr>
          <w:rFonts w:ascii="Times New Roman" w:hAnsi="Times New Roman" w:cs="Times New Roman"/>
          <w:sz w:val="22"/>
          <w:szCs w:val="28"/>
        </w:rPr>
        <w:tab/>
      </w:r>
      <w:r>
        <w:rPr>
          <w:rFonts w:ascii="Times New Roman" w:hAnsi="Times New Roman" w:cs="Times New Roman"/>
          <w:sz w:val="22"/>
          <w:szCs w:val="28"/>
        </w:rPr>
        <w:fldChar w:fldCharType="begin"/>
      </w:r>
      <w:r>
        <w:rPr>
          <w:rFonts w:ascii="Times New Roman" w:hAnsi="Times New Roman" w:cs="Times New Roman"/>
          <w:sz w:val="22"/>
          <w:szCs w:val="28"/>
        </w:rPr>
        <w:instrText xml:space="preserve"> PAGEREF _Toc1435877686 \h </w:instrText>
      </w:r>
      <w:r>
        <w:rPr>
          <w:rFonts w:ascii="Times New Roman" w:hAnsi="Times New Roman" w:cs="Times New Roman"/>
          <w:sz w:val="22"/>
          <w:szCs w:val="28"/>
        </w:rPr>
        <w:fldChar w:fldCharType="separate"/>
      </w:r>
      <w:r>
        <w:rPr>
          <w:rFonts w:ascii="Times New Roman" w:hAnsi="Times New Roman" w:cs="Times New Roman"/>
          <w:sz w:val="22"/>
          <w:szCs w:val="28"/>
        </w:rPr>
        <w:t>107</w:t>
      </w:r>
      <w:r>
        <w:rPr>
          <w:rFonts w:ascii="Times New Roman" w:hAnsi="Times New Roman" w:cs="Times New Roman"/>
          <w:sz w:val="22"/>
          <w:szCs w:val="28"/>
        </w:rPr>
        <w:fldChar w:fldCharType="end"/>
      </w:r>
      <w:r>
        <w:rPr>
          <w:rFonts w:ascii="Times New Roman" w:hAnsi="Times New Roman" w:cs="Times New Roman"/>
          <w:sz w:val="22"/>
          <w:szCs w:val="28"/>
        </w:rPr>
        <w:fldChar w:fldCharType="end"/>
      </w:r>
    </w:p>
    <w:p w14:paraId="12730F62">
      <w:pPr>
        <w:spacing w:line="360" w:lineRule="auto"/>
        <w:rPr>
          <w:rFonts w:ascii="Times New Roman" w:hAnsi="Times New Roman" w:cs="Times New Roman"/>
        </w:rPr>
        <w:sectPr>
          <w:pgSz w:w="11906" w:h="16838"/>
          <w:pgMar w:top="1440" w:right="1800" w:bottom="1440" w:left="1800" w:header="851" w:footer="992" w:gutter="0"/>
          <w:cols w:space="425" w:num="1"/>
          <w:docGrid w:type="lines" w:linePitch="312" w:charSpace="0"/>
        </w:sectPr>
      </w:pPr>
      <w:r>
        <w:rPr>
          <w:rFonts w:ascii="Times New Roman" w:hAnsi="Times New Roman" w:cs="Times New Roman"/>
        </w:rPr>
        <w:fldChar w:fldCharType="end"/>
      </w:r>
    </w:p>
    <w:p w14:paraId="55DC833D">
      <w:pPr>
        <w:keepNext w:val="0"/>
        <w:keepLines w:val="0"/>
        <w:widowControl/>
        <w:ind w:firstLineChars="200"/>
        <w:jc w:val="center"/>
        <w:rPr>
          <w:rFonts w:ascii="Times New Roman Bold" w:hAnsi="Times New Roman Bold" w:eastAsia="黑体" w:cs="Times New Roman Bold"/>
          <w:bCs/>
          <w:i w:val="0"/>
          <w:iCs/>
          <w:color w:val="000000"/>
          <w:szCs w:val="32"/>
        </w:rPr>
      </w:pPr>
      <w:bookmarkStart w:id="28" w:name="_Toc2082283335"/>
      <w:r>
        <w:rPr>
          <w:rFonts w:ascii="Times New Roman Bold" w:hAnsi="Times New Roman Bold" w:eastAsia="黑体" w:cs="Times New Roman Bold"/>
          <w:b/>
          <w:bCs/>
          <w:i w:val="0"/>
          <w:iCs/>
          <w:color w:val="000000"/>
          <w:sz w:val="32"/>
          <w:szCs w:val="32"/>
        </w:rPr>
        <w:t>List of Abbreviations and Terms</w:t>
      </w:r>
    </w:p>
    <w:tbl>
      <w:tblPr>
        <w:tblStyle w:val="15"/>
        <w:tblW w:w="4998" w:type="pct"/>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autofit"/>
        <w:tblCellMar>
          <w:top w:w="120" w:type="dxa"/>
          <w:left w:w="120" w:type="dxa"/>
          <w:bottom w:w="120" w:type="dxa"/>
          <w:right w:w="120" w:type="dxa"/>
        </w:tblCellMar>
      </w:tblPr>
      <w:tblGrid>
        <w:gridCol w:w="1668"/>
        <w:gridCol w:w="6875"/>
      </w:tblGrid>
      <w:tr w14:paraId="22160605">
        <w:tc>
          <w:tcPr>
            <w:tcW w:w="976" w:type="pct"/>
            <w:tcBorders>
              <w:top w:val="single" w:color="000000" w:sz="8" w:space="0"/>
              <w:left w:val="single" w:color="000000" w:sz="8" w:space="0"/>
              <w:bottom w:val="single" w:color="000000" w:sz="8" w:space="0"/>
              <w:right w:val="single" w:color="000000" w:sz="8" w:space="0"/>
            </w:tcBorders>
            <w:vAlign w:val="center"/>
          </w:tcPr>
          <w:p w14:paraId="50C41215">
            <w:pPr>
              <w:widowControl/>
              <w:spacing w:line="240" w:lineRule="atLeast"/>
              <w:jc w:val="center"/>
              <w:rPr>
                <w:rFonts w:ascii="Times New Roman" w:hAnsi="Times New Roman" w:cs="Times New Roman"/>
                <w:b/>
                <w:bCs/>
                <w:color w:val="000000"/>
                <w:sz w:val="24"/>
              </w:rPr>
            </w:pPr>
            <w:r>
              <w:rPr>
                <w:rFonts w:ascii="Times New Roman" w:hAnsi="Times New Roman" w:eastAsia="宋体" w:cs="Times New Roman"/>
                <w:b/>
                <w:bCs/>
                <w:color w:val="000000"/>
                <w:kern w:val="0"/>
                <w:sz w:val="24"/>
                <w:lang w:bidi="ar"/>
              </w:rPr>
              <w:t>Abbreviation</w:t>
            </w:r>
          </w:p>
        </w:tc>
        <w:tc>
          <w:tcPr>
            <w:tcW w:w="4023" w:type="pct"/>
            <w:tcBorders>
              <w:top w:val="single" w:color="000000" w:sz="8" w:space="0"/>
              <w:left w:val="single" w:color="000000" w:sz="8" w:space="0"/>
              <w:bottom w:val="single" w:color="000000" w:sz="8" w:space="0"/>
              <w:right w:val="single" w:color="000000" w:sz="8" w:space="0"/>
            </w:tcBorders>
            <w:vAlign w:val="center"/>
          </w:tcPr>
          <w:p w14:paraId="4D3676C1">
            <w:pPr>
              <w:widowControl/>
              <w:spacing w:line="240" w:lineRule="atLeast"/>
              <w:jc w:val="center"/>
              <w:rPr>
                <w:rFonts w:ascii="Times New Roman" w:hAnsi="Times New Roman" w:cs="Times New Roman"/>
                <w:b/>
                <w:bCs/>
                <w:color w:val="000000"/>
                <w:sz w:val="24"/>
              </w:rPr>
            </w:pPr>
            <w:r>
              <w:rPr>
                <w:rFonts w:ascii="Times New Roman" w:hAnsi="Times New Roman" w:eastAsia="宋体" w:cs="Times New Roman"/>
                <w:b/>
                <w:bCs/>
                <w:color w:val="000000"/>
                <w:kern w:val="0"/>
                <w:sz w:val="24"/>
                <w:lang w:bidi="ar"/>
              </w:rPr>
              <w:t>Definition</w:t>
            </w:r>
          </w:p>
        </w:tc>
      </w:tr>
      <w:tr w14:paraId="68115F96">
        <w:tc>
          <w:tcPr>
            <w:tcW w:w="976" w:type="pct"/>
            <w:tcBorders>
              <w:top w:val="single" w:color="000000" w:sz="8" w:space="0"/>
              <w:left w:val="single" w:color="000000" w:sz="8" w:space="0"/>
              <w:bottom w:val="single" w:color="000000" w:sz="8" w:space="0"/>
              <w:right w:val="single" w:color="000000" w:sz="8" w:space="0"/>
            </w:tcBorders>
            <w:vAlign w:val="center"/>
          </w:tcPr>
          <w:p w14:paraId="592BD567">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ADL</w:t>
            </w:r>
          </w:p>
        </w:tc>
        <w:tc>
          <w:tcPr>
            <w:tcW w:w="4023" w:type="pct"/>
            <w:tcBorders>
              <w:top w:val="single" w:color="000000" w:sz="8" w:space="0"/>
              <w:left w:val="single" w:color="000000" w:sz="8" w:space="0"/>
              <w:bottom w:val="single" w:color="000000" w:sz="8" w:space="0"/>
              <w:right w:val="single" w:color="000000" w:sz="8" w:space="0"/>
            </w:tcBorders>
            <w:vAlign w:val="center"/>
          </w:tcPr>
          <w:p w14:paraId="0F6275CC">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Activities of Daily Living</w:t>
            </w:r>
          </w:p>
        </w:tc>
      </w:tr>
      <w:tr w14:paraId="38C6FCCA">
        <w:tc>
          <w:tcPr>
            <w:tcW w:w="976" w:type="pct"/>
            <w:tcBorders>
              <w:top w:val="single" w:color="000000" w:sz="8" w:space="0"/>
              <w:left w:val="single" w:color="000000" w:sz="8" w:space="0"/>
              <w:bottom w:val="single" w:color="000000" w:sz="8" w:space="0"/>
              <w:right w:val="single" w:color="000000" w:sz="8" w:space="0"/>
            </w:tcBorders>
            <w:vAlign w:val="center"/>
          </w:tcPr>
          <w:p w14:paraId="3F2F919A">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AE</w:t>
            </w:r>
          </w:p>
        </w:tc>
        <w:tc>
          <w:tcPr>
            <w:tcW w:w="4023" w:type="pct"/>
            <w:tcBorders>
              <w:top w:val="single" w:color="000000" w:sz="8" w:space="0"/>
              <w:left w:val="single" w:color="000000" w:sz="8" w:space="0"/>
              <w:bottom w:val="single" w:color="000000" w:sz="8" w:space="0"/>
              <w:right w:val="single" w:color="000000" w:sz="8" w:space="0"/>
            </w:tcBorders>
            <w:vAlign w:val="center"/>
          </w:tcPr>
          <w:p w14:paraId="28A93311">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Adverse Event</w:t>
            </w:r>
          </w:p>
        </w:tc>
      </w:tr>
      <w:tr w14:paraId="61032EFE">
        <w:tc>
          <w:tcPr>
            <w:tcW w:w="976" w:type="pct"/>
            <w:tcBorders>
              <w:top w:val="single" w:color="000000" w:sz="8" w:space="0"/>
              <w:left w:val="single" w:color="000000" w:sz="8" w:space="0"/>
              <w:bottom w:val="single" w:color="000000" w:sz="8" w:space="0"/>
              <w:right w:val="single" w:color="000000" w:sz="8" w:space="0"/>
            </w:tcBorders>
            <w:vAlign w:val="center"/>
          </w:tcPr>
          <w:p w14:paraId="337D0F8A">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ALK</w:t>
            </w:r>
          </w:p>
        </w:tc>
        <w:tc>
          <w:tcPr>
            <w:tcW w:w="4023" w:type="pct"/>
            <w:tcBorders>
              <w:top w:val="single" w:color="000000" w:sz="8" w:space="0"/>
              <w:left w:val="single" w:color="000000" w:sz="8" w:space="0"/>
              <w:bottom w:val="single" w:color="000000" w:sz="8" w:space="0"/>
              <w:right w:val="single" w:color="000000" w:sz="8" w:space="0"/>
            </w:tcBorders>
            <w:vAlign w:val="center"/>
          </w:tcPr>
          <w:p w14:paraId="76522DFA">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Anaplastic Lymphoma Kinase</w:t>
            </w:r>
          </w:p>
        </w:tc>
      </w:tr>
      <w:tr w14:paraId="664B1ADE">
        <w:tc>
          <w:tcPr>
            <w:tcW w:w="976" w:type="pct"/>
            <w:tcBorders>
              <w:top w:val="single" w:color="000000" w:sz="8" w:space="0"/>
              <w:left w:val="single" w:color="000000" w:sz="8" w:space="0"/>
              <w:bottom w:val="single" w:color="000000" w:sz="8" w:space="0"/>
              <w:right w:val="single" w:color="000000" w:sz="8" w:space="0"/>
            </w:tcBorders>
            <w:vAlign w:val="center"/>
          </w:tcPr>
          <w:p w14:paraId="59CC12F5">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ANC</w:t>
            </w:r>
          </w:p>
        </w:tc>
        <w:tc>
          <w:tcPr>
            <w:tcW w:w="4023" w:type="pct"/>
            <w:tcBorders>
              <w:top w:val="single" w:color="000000" w:sz="8" w:space="0"/>
              <w:left w:val="single" w:color="000000" w:sz="8" w:space="0"/>
              <w:bottom w:val="single" w:color="000000" w:sz="8" w:space="0"/>
              <w:right w:val="single" w:color="000000" w:sz="8" w:space="0"/>
            </w:tcBorders>
            <w:vAlign w:val="center"/>
          </w:tcPr>
          <w:p w14:paraId="5125F47C">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Absolute Neutrophil Count</w:t>
            </w:r>
          </w:p>
        </w:tc>
      </w:tr>
      <w:tr w14:paraId="1787229F">
        <w:tc>
          <w:tcPr>
            <w:tcW w:w="976" w:type="pct"/>
            <w:tcBorders>
              <w:top w:val="single" w:color="000000" w:sz="8" w:space="0"/>
              <w:left w:val="single" w:color="000000" w:sz="8" w:space="0"/>
              <w:bottom w:val="single" w:color="000000" w:sz="8" w:space="0"/>
              <w:right w:val="single" w:color="000000" w:sz="8" w:space="0"/>
            </w:tcBorders>
            <w:vAlign w:val="center"/>
          </w:tcPr>
          <w:p w14:paraId="44573B5D">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AJCC</w:t>
            </w:r>
          </w:p>
        </w:tc>
        <w:tc>
          <w:tcPr>
            <w:tcW w:w="4023" w:type="pct"/>
            <w:tcBorders>
              <w:top w:val="single" w:color="000000" w:sz="8" w:space="0"/>
              <w:left w:val="single" w:color="000000" w:sz="8" w:space="0"/>
              <w:bottom w:val="single" w:color="000000" w:sz="8" w:space="0"/>
              <w:right w:val="single" w:color="000000" w:sz="8" w:space="0"/>
            </w:tcBorders>
            <w:vAlign w:val="center"/>
          </w:tcPr>
          <w:p w14:paraId="4E1C9C10">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American Joint Committee on Cancer</w:t>
            </w:r>
          </w:p>
        </w:tc>
      </w:tr>
      <w:tr w14:paraId="4A96DAFC">
        <w:tc>
          <w:tcPr>
            <w:tcW w:w="976" w:type="pct"/>
            <w:tcBorders>
              <w:top w:val="single" w:color="000000" w:sz="8" w:space="0"/>
              <w:left w:val="single" w:color="000000" w:sz="8" w:space="0"/>
              <w:bottom w:val="single" w:color="000000" w:sz="8" w:space="0"/>
              <w:right w:val="single" w:color="000000" w:sz="8" w:space="0"/>
            </w:tcBorders>
            <w:vAlign w:val="center"/>
          </w:tcPr>
          <w:p w14:paraId="2D40842F">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ALT</w:t>
            </w:r>
          </w:p>
        </w:tc>
        <w:tc>
          <w:tcPr>
            <w:tcW w:w="4023" w:type="pct"/>
            <w:tcBorders>
              <w:top w:val="single" w:color="000000" w:sz="8" w:space="0"/>
              <w:left w:val="single" w:color="000000" w:sz="8" w:space="0"/>
              <w:bottom w:val="single" w:color="000000" w:sz="8" w:space="0"/>
              <w:right w:val="single" w:color="000000" w:sz="8" w:space="0"/>
            </w:tcBorders>
            <w:vAlign w:val="center"/>
          </w:tcPr>
          <w:p w14:paraId="05E40ECA">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Alanine Aminotransferase</w:t>
            </w:r>
          </w:p>
        </w:tc>
      </w:tr>
      <w:tr w14:paraId="619DE8E2">
        <w:tc>
          <w:tcPr>
            <w:tcW w:w="976" w:type="pct"/>
            <w:tcBorders>
              <w:top w:val="single" w:color="000000" w:sz="8" w:space="0"/>
              <w:left w:val="single" w:color="000000" w:sz="8" w:space="0"/>
              <w:bottom w:val="single" w:color="000000" w:sz="8" w:space="0"/>
              <w:right w:val="single" w:color="000000" w:sz="8" w:space="0"/>
            </w:tcBorders>
            <w:vAlign w:val="center"/>
          </w:tcPr>
          <w:p w14:paraId="26F4AB86">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ANA</w:t>
            </w:r>
          </w:p>
        </w:tc>
        <w:tc>
          <w:tcPr>
            <w:tcW w:w="4023" w:type="pct"/>
            <w:tcBorders>
              <w:top w:val="single" w:color="000000" w:sz="8" w:space="0"/>
              <w:left w:val="single" w:color="000000" w:sz="8" w:space="0"/>
              <w:bottom w:val="single" w:color="000000" w:sz="8" w:space="0"/>
              <w:right w:val="single" w:color="000000" w:sz="8" w:space="0"/>
            </w:tcBorders>
            <w:vAlign w:val="center"/>
          </w:tcPr>
          <w:p w14:paraId="6FDA0444">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Antinuclear Antibody</w:t>
            </w:r>
          </w:p>
        </w:tc>
      </w:tr>
      <w:tr w14:paraId="742CA0DE">
        <w:tc>
          <w:tcPr>
            <w:tcW w:w="976" w:type="pct"/>
            <w:tcBorders>
              <w:top w:val="single" w:color="000000" w:sz="8" w:space="0"/>
              <w:left w:val="single" w:color="000000" w:sz="8" w:space="0"/>
              <w:bottom w:val="single" w:color="000000" w:sz="8" w:space="0"/>
              <w:right w:val="single" w:color="000000" w:sz="8" w:space="0"/>
            </w:tcBorders>
            <w:vAlign w:val="center"/>
          </w:tcPr>
          <w:p w14:paraId="49291F03">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AUC</w:t>
            </w:r>
          </w:p>
        </w:tc>
        <w:tc>
          <w:tcPr>
            <w:tcW w:w="4023" w:type="pct"/>
            <w:tcBorders>
              <w:top w:val="single" w:color="000000" w:sz="8" w:space="0"/>
              <w:left w:val="single" w:color="000000" w:sz="8" w:space="0"/>
              <w:bottom w:val="single" w:color="000000" w:sz="8" w:space="0"/>
              <w:right w:val="single" w:color="000000" w:sz="8" w:space="0"/>
            </w:tcBorders>
            <w:vAlign w:val="center"/>
          </w:tcPr>
          <w:p w14:paraId="57AA3D34">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Area Under the Plasma Concentration-Time Curve</w:t>
            </w:r>
          </w:p>
        </w:tc>
      </w:tr>
      <w:tr w14:paraId="46EEA79C">
        <w:tc>
          <w:tcPr>
            <w:tcW w:w="976" w:type="pct"/>
            <w:tcBorders>
              <w:top w:val="single" w:color="000000" w:sz="8" w:space="0"/>
              <w:left w:val="single" w:color="000000" w:sz="8" w:space="0"/>
              <w:bottom w:val="single" w:color="000000" w:sz="8" w:space="0"/>
              <w:right w:val="single" w:color="000000" w:sz="8" w:space="0"/>
            </w:tcBorders>
            <w:vAlign w:val="center"/>
          </w:tcPr>
          <w:p w14:paraId="31D2687A">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aPTT</w:t>
            </w:r>
          </w:p>
        </w:tc>
        <w:tc>
          <w:tcPr>
            <w:tcW w:w="4023" w:type="pct"/>
            <w:tcBorders>
              <w:top w:val="single" w:color="000000" w:sz="8" w:space="0"/>
              <w:left w:val="single" w:color="000000" w:sz="8" w:space="0"/>
              <w:bottom w:val="single" w:color="000000" w:sz="8" w:space="0"/>
              <w:right w:val="single" w:color="000000" w:sz="8" w:space="0"/>
            </w:tcBorders>
            <w:vAlign w:val="center"/>
          </w:tcPr>
          <w:p w14:paraId="56CE9C35">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Activated Partial Thromboplastin Time</w:t>
            </w:r>
          </w:p>
        </w:tc>
      </w:tr>
      <w:tr w14:paraId="471A2B93">
        <w:tc>
          <w:tcPr>
            <w:tcW w:w="976" w:type="pct"/>
            <w:tcBorders>
              <w:top w:val="single" w:color="000000" w:sz="8" w:space="0"/>
              <w:left w:val="single" w:color="000000" w:sz="8" w:space="0"/>
              <w:bottom w:val="single" w:color="000000" w:sz="8" w:space="0"/>
              <w:right w:val="single" w:color="000000" w:sz="8" w:space="0"/>
            </w:tcBorders>
            <w:vAlign w:val="center"/>
          </w:tcPr>
          <w:p w14:paraId="09B491AB">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AST</w:t>
            </w:r>
          </w:p>
        </w:tc>
        <w:tc>
          <w:tcPr>
            <w:tcW w:w="4023" w:type="pct"/>
            <w:tcBorders>
              <w:top w:val="single" w:color="000000" w:sz="8" w:space="0"/>
              <w:left w:val="single" w:color="000000" w:sz="8" w:space="0"/>
              <w:bottom w:val="single" w:color="000000" w:sz="8" w:space="0"/>
              <w:right w:val="single" w:color="000000" w:sz="8" w:space="0"/>
            </w:tcBorders>
            <w:vAlign w:val="center"/>
          </w:tcPr>
          <w:p w14:paraId="2B17B692">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Aspartate Aminotransferase</w:t>
            </w:r>
          </w:p>
        </w:tc>
      </w:tr>
      <w:tr w14:paraId="34F5F6B0">
        <w:tc>
          <w:tcPr>
            <w:tcW w:w="976" w:type="pct"/>
            <w:tcBorders>
              <w:top w:val="single" w:color="000000" w:sz="8" w:space="0"/>
              <w:left w:val="single" w:color="000000" w:sz="8" w:space="0"/>
              <w:bottom w:val="single" w:color="000000" w:sz="8" w:space="0"/>
              <w:right w:val="single" w:color="000000" w:sz="8" w:space="0"/>
            </w:tcBorders>
            <w:vAlign w:val="center"/>
          </w:tcPr>
          <w:p w14:paraId="4FF0C816">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BUN</w:t>
            </w:r>
          </w:p>
        </w:tc>
        <w:tc>
          <w:tcPr>
            <w:tcW w:w="4023" w:type="pct"/>
            <w:tcBorders>
              <w:top w:val="single" w:color="000000" w:sz="8" w:space="0"/>
              <w:left w:val="single" w:color="000000" w:sz="8" w:space="0"/>
              <w:bottom w:val="single" w:color="000000" w:sz="8" w:space="0"/>
              <w:right w:val="single" w:color="000000" w:sz="8" w:space="0"/>
            </w:tcBorders>
            <w:vAlign w:val="center"/>
          </w:tcPr>
          <w:p w14:paraId="5A500077">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Blood Urea Nitrogen</w:t>
            </w:r>
          </w:p>
        </w:tc>
      </w:tr>
      <w:tr w14:paraId="516CE8F2">
        <w:tc>
          <w:tcPr>
            <w:tcW w:w="976" w:type="pct"/>
            <w:tcBorders>
              <w:top w:val="single" w:color="000000" w:sz="8" w:space="0"/>
              <w:left w:val="single" w:color="000000" w:sz="8" w:space="0"/>
              <w:bottom w:val="single" w:color="000000" w:sz="8" w:space="0"/>
              <w:right w:val="single" w:color="000000" w:sz="8" w:space="0"/>
            </w:tcBorders>
            <w:vAlign w:val="center"/>
          </w:tcPr>
          <w:p w14:paraId="3E83F548">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BSD</w:t>
            </w:r>
          </w:p>
        </w:tc>
        <w:tc>
          <w:tcPr>
            <w:tcW w:w="4023" w:type="pct"/>
            <w:tcBorders>
              <w:top w:val="single" w:color="000000" w:sz="8" w:space="0"/>
              <w:left w:val="single" w:color="000000" w:sz="8" w:space="0"/>
              <w:bottom w:val="single" w:color="000000" w:sz="8" w:space="0"/>
              <w:right w:val="single" w:color="000000" w:sz="8" w:space="0"/>
            </w:tcBorders>
            <w:vAlign w:val="center"/>
          </w:tcPr>
          <w:p w14:paraId="08766AE6">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Baseline Sum of Dimensions</w:t>
            </w:r>
          </w:p>
        </w:tc>
      </w:tr>
      <w:tr w14:paraId="5DAC384F">
        <w:tc>
          <w:tcPr>
            <w:tcW w:w="976" w:type="pct"/>
            <w:tcBorders>
              <w:top w:val="single" w:color="000000" w:sz="8" w:space="0"/>
              <w:left w:val="single" w:color="000000" w:sz="8" w:space="0"/>
              <w:bottom w:val="single" w:color="000000" w:sz="8" w:space="0"/>
              <w:right w:val="single" w:color="000000" w:sz="8" w:space="0"/>
            </w:tcBorders>
            <w:vAlign w:val="center"/>
          </w:tcPr>
          <w:p w14:paraId="322EAB74">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CI</w:t>
            </w:r>
          </w:p>
        </w:tc>
        <w:tc>
          <w:tcPr>
            <w:tcW w:w="4023" w:type="pct"/>
            <w:tcBorders>
              <w:top w:val="single" w:color="000000" w:sz="8" w:space="0"/>
              <w:left w:val="single" w:color="000000" w:sz="8" w:space="0"/>
              <w:bottom w:val="single" w:color="000000" w:sz="8" w:space="0"/>
              <w:right w:val="single" w:color="000000" w:sz="8" w:space="0"/>
            </w:tcBorders>
            <w:vAlign w:val="center"/>
          </w:tcPr>
          <w:p w14:paraId="568410B0">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Confidence Interval</w:t>
            </w:r>
          </w:p>
        </w:tc>
      </w:tr>
      <w:tr w14:paraId="53B38B16">
        <w:tc>
          <w:tcPr>
            <w:tcW w:w="976" w:type="pct"/>
            <w:tcBorders>
              <w:top w:val="single" w:color="000000" w:sz="8" w:space="0"/>
              <w:left w:val="single" w:color="000000" w:sz="8" w:space="0"/>
              <w:bottom w:val="single" w:color="000000" w:sz="8" w:space="0"/>
              <w:right w:val="single" w:color="000000" w:sz="8" w:space="0"/>
            </w:tcBorders>
            <w:vAlign w:val="center"/>
          </w:tcPr>
          <w:p w14:paraId="546A53A3">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CD73</w:t>
            </w:r>
          </w:p>
        </w:tc>
        <w:tc>
          <w:tcPr>
            <w:tcW w:w="4023" w:type="pct"/>
            <w:tcBorders>
              <w:top w:val="single" w:color="000000" w:sz="8" w:space="0"/>
              <w:left w:val="single" w:color="000000" w:sz="8" w:space="0"/>
              <w:bottom w:val="single" w:color="000000" w:sz="8" w:space="0"/>
              <w:right w:val="single" w:color="000000" w:sz="8" w:space="0"/>
            </w:tcBorders>
            <w:vAlign w:val="center"/>
          </w:tcPr>
          <w:p w14:paraId="16B0592A">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Cluster of Differentiation 73</w:t>
            </w:r>
          </w:p>
        </w:tc>
      </w:tr>
      <w:tr w14:paraId="259FA76D">
        <w:tc>
          <w:tcPr>
            <w:tcW w:w="976" w:type="pct"/>
            <w:tcBorders>
              <w:top w:val="single" w:color="000000" w:sz="8" w:space="0"/>
              <w:left w:val="single" w:color="000000" w:sz="8" w:space="0"/>
              <w:bottom w:val="single" w:color="000000" w:sz="8" w:space="0"/>
              <w:right w:val="single" w:color="000000" w:sz="8" w:space="0"/>
            </w:tcBorders>
            <w:vAlign w:val="center"/>
          </w:tcPr>
          <w:p w14:paraId="02A6FC0F">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CNS</w:t>
            </w:r>
          </w:p>
        </w:tc>
        <w:tc>
          <w:tcPr>
            <w:tcW w:w="4023" w:type="pct"/>
            <w:tcBorders>
              <w:top w:val="single" w:color="000000" w:sz="8" w:space="0"/>
              <w:left w:val="single" w:color="000000" w:sz="8" w:space="0"/>
              <w:bottom w:val="single" w:color="000000" w:sz="8" w:space="0"/>
              <w:right w:val="single" w:color="000000" w:sz="8" w:space="0"/>
            </w:tcBorders>
            <w:vAlign w:val="center"/>
          </w:tcPr>
          <w:p w14:paraId="082E42F2">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Central Nervous System</w:t>
            </w:r>
          </w:p>
        </w:tc>
      </w:tr>
      <w:tr w14:paraId="405ED3F3">
        <w:tc>
          <w:tcPr>
            <w:tcW w:w="976" w:type="pct"/>
            <w:tcBorders>
              <w:top w:val="single" w:color="000000" w:sz="8" w:space="0"/>
              <w:left w:val="single" w:color="000000" w:sz="8" w:space="0"/>
              <w:bottom w:val="single" w:color="000000" w:sz="8" w:space="0"/>
              <w:right w:val="single" w:color="000000" w:sz="8" w:space="0"/>
            </w:tcBorders>
            <w:vAlign w:val="center"/>
          </w:tcPr>
          <w:p w14:paraId="0A4E60D2">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CR</w:t>
            </w:r>
          </w:p>
        </w:tc>
        <w:tc>
          <w:tcPr>
            <w:tcW w:w="4023" w:type="pct"/>
            <w:tcBorders>
              <w:top w:val="single" w:color="000000" w:sz="8" w:space="0"/>
              <w:left w:val="single" w:color="000000" w:sz="8" w:space="0"/>
              <w:bottom w:val="single" w:color="000000" w:sz="8" w:space="0"/>
              <w:right w:val="single" w:color="000000" w:sz="8" w:space="0"/>
            </w:tcBorders>
            <w:vAlign w:val="center"/>
          </w:tcPr>
          <w:p w14:paraId="6102924B">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Complete Response</w:t>
            </w:r>
          </w:p>
        </w:tc>
      </w:tr>
      <w:tr w14:paraId="333B7CC5">
        <w:tc>
          <w:tcPr>
            <w:tcW w:w="976" w:type="pct"/>
            <w:tcBorders>
              <w:top w:val="single" w:color="000000" w:sz="8" w:space="0"/>
              <w:left w:val="single" w:color="000000" w:sz="8" w:space="0"/>
              <w:bottom w:val="single" w:color="000000" w:sz="8" w:space="0"/>
              <w:right w:val="single" w:color="000000" w:sz="8" w:space="0"/>
            </w:tcBorders>
            <w:vAlign w:val="center"/>
          </w:tcPr>
          <w:p w14:paraId="67DDC6A5">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CRF</w:t>
            </w:r>
          </w:p>
        </w:tc>
        <w:tc>
          <w:tcPr>
            <w:tcW w:w="4023" w:type="pct"/>
            <w:tcBorders>
              <w:top w:val="single" w:color="000000" w:sz="8" w:space="0"/>
              <w:left w:val="single" w:color="000000" w:sz="8" w:space="0"/>
              <w:bottom w:val="single" w:color="000000" w:sz="8" w:space="0"/>
              <w:right w:val="single" w:color="000000" w:sz="8" w:space="0"/>
            </w:tcBorders>
            <w:vAlign w:val="center"/>
          </w:tcPr>
          <w:p w14:paraId="526529BC">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Case Report Form</w:t>
            </w:r>
          </w:p>
        </w:tc>
      </w:tr>
      <w:tr w14:paraId="768CD248">
        <w:tc>
          <w:tcPr>
            <w:tcW w:w="976" w:type="pct"/>
            <w:tcBorders>
              <w:top w:val="single" w:color="000000" w:sz="8" w:space="0"/>
              <w:left w:val="single" w:color="000000" w:sz="8" w:space="0"/>
              <w:bottom w:val="single" w:color="000000" w:sz="8" w:space="0"/>
              <w:right w:val="single" w:color="000000" w:sz="8" w:space="0"/>
            </w:tcBorders>
            <w:vAlign w:val="center"/>
          </w:tcPr>
          <w:p w14:paraId="09697D79">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CrCl</w:t>
            </w:r>
          </w:p>
        </w:tc>
        <w:tc>
          <w:tcPr>
            <w:tcW w:w="4023" w:type="pct"/>
            <w:tcBorders>
              <w:top w:val="single" w:color="000000" w:sz="8" w:space="0"/>
              <w:left w:val="single" w:color="000000" w:sz="8" w:space="0"/>
              <w:bottom w:val="single" w:color="000000" w:sz="8" w:space="0"/>
              <w:right w:val="single" w:color="000000" w:sz="8" w:space="0"/>
            </w:tcBorders>
            <w:vAlign w:val="center"/>
          </w:tcPr>
          <w:p w14:paraId="25ABC3C0">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Creatinine Clearance</w:t>
            </w:r>
          </w:p>
        </w:tc>
      </w:tr>
      <w:tr w14:paraId="2D91DF49">
        <w:tc>
          <w:tcPr>
            <w:tcW w:w="976" w:type="pct"/>
            <w:tcBorders>
              <w:top w:val="single" w:color="000000" w:sz="8" w:space="0"/>
              <w:left w:val="single" w:color="000000" w:sz="8" w:space="0"/>
              <w:bottom w:val="single" w:color="000000" w:sz="8" w:space="0"/>
              <w:right w:val="single" w:color="000000" w:sz="8" w:space="0"/>
            </w:tcBorders>
            <w:vAlign w:val="center"/>
          </w:tcPr>
          <w:p w14:paraId="5B4E58A0">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CT</w:t>
            </w:r>
          </w:p>
        </w:tc>
        <w:tc>
          <w:tcPr>
            <w:tcW w:w="4023" w:type="pct"/>
            <w:tcBorders>
              <w:top w:val="single" w:color="000000" w:sz="8" w:space="0"/>
              <w:left w:val="single" w:color="000000" w:sz="8" w:space="0"/>
              <w:bottom w:val="single" w:color="000000" w:sz="8" w:space="0"/>
              <w:right w:val="single" w:color="000000" w:sz="8" w:space="0"/>
            </w:tcBorders>
            <w:vAlign w:val="center"/>
          </w:tcPr>
          <w:p w14:paraId="4EA35FD8">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Computed Tomography</w:t>
            </w:r>
          </w:p>
        </w:tc>
      </w:tr>
      <w:tr w14:paraId="23B09D8A">
        <w:tc>
          <w:tcPr>
            <w:tcW w:w="976" w:type="pct"/>
            <w:tcBorders>
              <w:top w:val="single" w:color="000000" w:sz="8" w:space="0"/>
              <w:left w:val="single" w:color="000000" w:sz="8" w:space="0"/>
              <w:bottom w:val="single" w:color="000000" w:sz="8" w:space="0"/>
              <w:right w:val="single" w:color="000000" w:sz="8" w:space="0"/>
            </w:tcBorders>
            <w:vAlign w:val="center"/>
          </w:tcPr>
          <w:p w14:paraId="0227C59D">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CTCAE</w:t>
            </w:r>
          </w:p>
        </w:tc>
        <w:tc>
          <w:tcPr>
            <w:tcW w:w="4023" w:type="pct"/>
            <w:tcBorders>
              <w:top w:val="single" w:color="000000" w:sz="8" w:space="0"/>
              <w:left w:val="single" w:color="000000" w:sz="8" w:space="0"/>
              <w:bottom w:val="single" w:color="000000" w:sz="8" w:space="0"/>
              <w:right w:val="single" w:color="000000" w:sz="8" w:space="0"/>
            </w:tcBorders>
            <w:vAlign w:val="center"/>
          </w:tcPr>
          <w:p w14:paraId="0CD701E8">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Common Terminology Criteria for Adverse Events</w:t>
            </w:r>
          </w:p>
        </w:tc>
      </w:tr>
      <w:tr w14:paraId="27A07AEC">
        <w:tc>
          <w:tcPr>
            <w:tcW w:w="976" w:type="pct"/>
            <w:tcBorders>
              <w:top w:val="single" w:color="000000" w:sz="8" w:space="0"/>
              <w:left w:val="single" w:color="000000" w:sz="8" w:space="0"/>
              <w:bottom w:val="single" w:color="000000" w:sz="8" w:space="0"/>
              <w:right w:val="single" w:color="000000" w:sz="8" w:space="0"/>
            </w:tcBorders>
            <w:vAlign w:val="center"/>
          </w:tcPr>
          <w:p w14:paraId="216EDA10">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CTV</w:t>
            </w:r>
          </w:p>
        </w:tc>
        <w:tc>
          <w:tcPr>
            <w:tcW w:w="4023" w:type="pct"/>
            <w:tcBorders>
              <w:top w:val="single" w:color="000000" w:sz="8" w:space="0"/>
              <w:left w:val="single" w:color="000000" w:sz="8" w:space="0"/>
              <w:bottom w:val="single" w:color="000000" w:sz="8" w:space="0"/>
              <w:right w:val="single" w:color="000000" w:sz="8" w:space="0"/>
            </w:tcBorders>
            <w:vAlign w:val="center"/>
          </w:tcPr>
          <w:p w14:paraId="7F959D0B">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Clinical Target Volume</w:t>
            </w:r>
          </w:p>
        </w:tc>
      </w:tr>
      <w:tr w14:paraId="7A317001">
        <w:tc>
          <w:tcPr>
            <w:tcW w:w="976" w:type="pct"/>
            <w:tcBorders>
              <w:top w:val="single" w:color="000000" w:sz="8" w:space="0"/>
              <w:left w:val="single" w:color="000000" w:sz="8" w:space="0"/>
              <w:bottom w:val="single" w:color="000000" w:sz="8" w:space="0"/>
              <w:right w:val="single" w:color="000000" w:sz="8" w:space="0"/>
            </w:tcBorders>
            <w:vAlign w:val="center"/>
          </w:tcPr>
          <w:p w14:paraId="4F8B677F">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cCRT</w:t>
            </w:r>
          </w:p>
        </w:tc>
        <w:tc>
          <w:tcPr>
            <w:tcW w:w="4023" w:type="pct"/>
            <w:tcBorders>
              <w:top w:val="single" w:color="000000" w:sz="8" w:space="0"/>
              <w:left w:val="single" w:color="000000" w:sz="8" w:space="0"/>
              <w:bottom w:val="single" w:color="000000" w:sz="8" w:space="0"/>
              <w:right w:val="single" w:color="000000" w:sz="8" w:space="0"/>
            </w:tcBorders>
            <w:vAlign w:val="center"/>
          </w:tcPr>
          <w:p w14:paraId="3A0A8FE0">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Concurrent Chemoradiotherapy</w:t>
            </w:r>
          </w:p>
        </w:tc>
      </w:tr>
      <w:tr w14:paraId="3C9506B7">
        <w:tc>
          <w:tcPr>
            <w:tcW w:w="976" w:type="pct"/>
            <w:tcBorders>
              <w:top w:val="single" w:color="000000" w:sz="8" w:space="0"/>
              <w:left w:val="single" w:color="000000" w:sz="8" w:space="0"/>
              <w:bottom w:val="single" w:color="000000" w:sz="8" w:space="0"/>
              <w:right w:val="single" w:color="000000" w:sz="8" w:space="0"/>
            </w:tcBorders>
            <w:vAlign w:val="center"/>
          </w:tcPr>
          <w:p w14:paraId="306BE89B">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ctDNA</w:t>
            </w:r>
          </w:p>
        </w:tc>
        <w:tc>
          <w:tcPr>
            <w:tcW w:w="4023" w:type="pct"/>
            <w:tcBorders>
              <w:top w:val="single" w:color="000000" w:sz="8" w:space="0"/>
              <w:left w:val="single" w:color="000000" w:sz="8" w:space="0"/>
              <w:bottom w:val="single" w:color="000000" w:sz="8" w:space="0"/>
              <w:right w:val="single" w:color="000000" w:sz="8" w:space="0"/>
            </w:tcBorders>
            <w:vAlign w:val="center"/>
          </w:tcPr>
          <w:p w14:paraId="62236B02">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Circulating Tumor DNA</w:t>
            </w:r>
          </w:p>
        </w:tc>
      </w:tr>
      <w:tr w14:paraId="2A3BABF1">
        <w:tc>
          <w:tcPr>
            <w:tcW w:w="976" w:type="pct"/>
            <w:tcBorders>
              <w:top w:val="single" w:color="000000" w:sz="8" w:space="0"/>
              <w:left w:val="single" w:color="000000" w:sz="8" w:space="0"/>
              <w:bottom w:val="single" w:color="000000" w:sz="8" w:space="0"/>
              <w:right w:val="single" w:color="000000" w:sz="8" w:space="0"/>
            </w:tcBorders>
            <w:vAlign w:val="center"/>
          </w:tcPr>
          <w:p w14:paraId="47F2168B">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DBP</w:t>
            </w:r>
          </w:p>
        </w:tc>
        <w:tc>
          <w:tcPr>
            <w:tcW w:w="4023" w:type="pct"/>
            <w:tcBorders>
              <w:top w:val="single" w:color="000000" w:sz="8" w:space="0"/>
              <w:left w:val="single" w:color="000000" w:sz="8" w:space="0"/>
              <w:bottom w:val="single" w:color="000000" w:sz="8" w:space="0"/>
              <w:right w:val="single" w:color="000000" w:sz="8" w:space="0"/>
            </w:tcBorders>
            <w:vAlign w:val="center"/>
          </w:tcPr>
          <w:p w14:paraId="4F713808">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Diastolic Blood Pressure</w:t>
            </w:r>
          </w:p>
        </w:tc>
      </w:tr>
      <w:tr w14:paraId="7727F024">
        <w:tc>
          <w:tcPr>
            <w:tcW w:w="976" w:type="pct"/>
            <w:tcBorders>
              <w:top w:val="single" w:color="000000" w:sz="8" w:space="0"/>
              <w:left w:val="single" w:color="000000" w:sz="8" w:space="0"/>
              <w:bottom w:val="single" w:color="000000" w:sz="8" w:space="0"/>
              <w:right w:val="single" w:color="000000" w:sz="8" w:space="0"/>
            </w:tcBorders>
            <w:vAlign w:val="center"/>
          </w:tcPr>
          <w:p w14:paraId="157D2437">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DCR</w:t>
            </w:r>
          </w:p>
        </w:tc>
        <w:tc>
          <w:tcPr>
            <w:tcW w:w="4023" w:type="pct"/>
            <w:tcBorders>
              <w:top w:val="single" w:color="000000" w:sz="8" w:space="0"/>
              <w:left w:val="single" w:color="000000" w:sz="8" w:space="0"/>
              <w:bottom w:val="single" w:color="000000" w:sz="8" w:space="0"/>
              <w:right w:val="single" w:color="000000" w:sz="8" w:space="0"/>
            </w:tcBorders>
            <w:vAlign w:val="center"/>
          </w:tcPr>
          <w:p w14:paraId="598E97CB">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Disease Control Rate</w:t>
            </w:r>
          </w:p>
        </w:tc>
      </w:tr>
      <w:tr w14:paraId="4448F34B">
        <w:tc>
          <w:tcPr>
            <w:tcW w:w="976" w:type="pct"/>
            <w:tcBorders>
              <w:top w:val="single" w:color="000000" w:sz="8" w:space="0"/>
              <w:left w:val="single" w:color="000000" w:sz="8" w:space="0"/>
              <w:bottom w:val="single" w:color="000000" w:sz="8" w:space="0"/>
              <w:right w:val="single" w:color="000000" w:sz="8" w:space="0"/>
            </w:tcBorders>
            <w:vAlign w:val="center"/>
          </w:tcPr>
          <w:p w14:paraId="10927AE9">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DLCO</w:t>
            </w:r>
          </w:p>
        </w:tc>
        <w:tc>
          <w:tcPr>
            <w:tcW w:w="4023" w:type="pct"/>
            <w:tcBorders>
              <w:top w:val="single" w:color="000000" w:sz="8" w:space="0"/>
              <w:left w:val="single" w:color="000000" w:sz="8" w:space="0"/>
              <w:bottom w:val="single" w:color="000000" w:sz="8" w:space="0"/>
              <w:right w:val="single" w:color="000000" w:sz="8" w:space="0"/>
            </w:tcBorders>
            <w:vAlign w:val="center"/>
          </w:tcPr>
          <w:p w14:paraId="3E0E24BA">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Diffusing Capacity of the Lungs for Carbon Monoxide</w:t>
            </w:r>
          </w:p>
        </w:tc>
      </w:tr>
      <w:tr w14:paraId="12921EAA">
        <w:tc>
          <w:tcPr>
            <w:tcW w:w="976" w:type="pct"/>
            <w:tcBorders>
              <w:top w:val="single" w:color="000000" w:sz="8" w:space="0"/>
              <w:left w:val="single" w:color="000000" w:sz="8" w:space="0"/>
              <w:bottom w:val="single" w:color="000000" w:sz="8" w:space="0"/>
              <w:right w:val="single" w:color="000000" w:sz="8" w:space="0"/>
            </w:tcBorders>
            <w:vAlign w:val="center"/>
          </w:tcPr>
          <w:p w14:paraId="088D2217">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DLT</w:t>
            </w:r>
          </w:p>
        </w:tc>
        <w:tc>
          <w:tcPr>
            <w:tcW w:w="4023" w:type="pct"/>
            <w:tcBorders>
              <w:top w:val="single" w:color="000000" w:sz="8" w:space="0"/>
              <w:left w:val="single" w:color="000000" w:sz="8" w:space="0"/>
              <w:bottom w:val="single" w:color="000000" w:sz="8" w:space="0"/>
              <w:right w:val="single" w:color="000000" w:sz="8" w:space="0"/>
            </w:tcBorders>
            <w:vAlign w:val="center"/>
          </w:tcPr>
          <w:p w14:paraId="304C2AB2">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Dose-Limiting Toxicity</w:t>
            </w:r>
          </w:p>
        </w:tc>
      </w:tr>
      <w:tr w14:paraId="673BFD03">
        <w:tc>
          <w:tcPr>
            <w:tcW w:w="976" w:type="pct"/>
            <w:tcBorders>
              <w:top w:val="single" w:color="000000" w:sz="8" w:space="0"/>
              <w:left w:val="single" w:color="000000" w:sz="8" w:space="0"/>
              <w:bottom w:val="single" w:color="000000" w:sz="8" w:space="0"/>
              <w:right w:val="single" w:color="000000" w:sz="8" w:space="0"/>
            </w:tcBorders>
            <w:vAlign w:val="center"/>
          </w:tcPr>
          <w:p w14:paraId="7FA6BF3A">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DNA</w:t>
            </w:r>
          </w:p>
        </w:tc>
        <w:tc>
          <w:tcPr>
            <w:tcW w:w="4023" w:type="pct"/>
            <w:tcBorders>
              <w:top w:val="single" w:color="000000" w:sz="8" w:space="0"/>
              <w:left w:val="single" w:color="000000" w:sz="8" w:space="0"/>
              <w:bottom w:val="single" w:color="000000" w:sz="8" w:space="0"/>
              <w:right w:val="single" w:color="000000" w:sz="8" w:space="0"/>
            </w:tcBorders>
            <w:vAlign w:val="center"/>
          </w:tcPr>
          <w:p w14:paraId="6A6DCFFD">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Deoxyribonucleic Acid</w:t>
            </w:r>
          </w:p>
        </w:tc>
      </w:tr>
      <w:tr w14:paraId="7ADC86AA">
        <w:tc>
          <w:tcPr>
            <w:tcW w:w="976" w:type="pct"/>
            <w:tcBorders>
              <w:top w:val="single" w:color="000000" w:sz="8" w:space="0"/>
              <w:left w:val="single" w:color="000000" w:sz="8" w:space="0"/>
              <w:bottom w:val="single" w:color="000000" w:sz="8" w:space="0"/>
              <w:right w:val="single" w:color="000000" w:sz="8" w:space="0"/>
            </w:tcBorders>
            <w:vAlign w:val="center"/>
          </w:tcPr>
          <w:p w14:paraId="324CF78C">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EBV</w:t>
            </w:r>
          </w:p>
        </w:tc>
        <w:tc>
          <w:tcPr>
            <w:tcW w:w="4023" w:type="pct"/>
            <w:tcBorders>
              <w:top w:val="single" w:color="000000" w:sz="8" w:space="0"/>
              <w:left w:val="single" w:color="000000" w:sz="8" w:space="0"/>
              <w:bottom w:val="single" w:color="000000" w:sz="8" w:space="0"/>
              <w:right w:val="single" w:color="000000" w:sz="8" w:space="0"/>
            </w:tcBorders>
            <w:vAlign w:val="center"/>
          </w:tcPr>
          <w:p w14:paraId="3613659C">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Epstein-Barr Virus</w:t>
            </w:r>
          </w:p>
        </w:tc>
      </w:tr>
      <w:tr w14:paraId="2E8F703F">
        <w:tc>
          <w:tcPr>
            <w:tcW w:w="976" w:type="pct"/>
            <w:tcBorders>
              <w:top w:val="single" w:color="000000" w:sz="8" w:space="0"/>
              <w:left w:val="single" w:color="000000" w:sz="8" w:space="0"/>
              <w:bottom w:val="single" w:color="000000" w:sz="8" w:space="0"/>
              <w:right w:val="single" w:color="000000" w:sz="8" w:space="0"/>
            </w:tcBorders>
            <w:vAlign w:val="center"/>
          </w:tcPr>
          <w:p w14:paraId="2F7C429E">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EBNA</w:t>
            </w:r>
          </w:p>
        </w:tc>
        <w:tc>
          <w:tcPr>
            <w:tcW w:w="4023" w:type="pct"/>
            <w:tcBorders>
              <w:top w:val="single" w:color="000000" w:sz="8" w:space="0"/>
              <w:left w:val="single" w:color="000000" w:sz="8" w:space="0"/>
              <w:bottom w:val="single" w:color="000000" w:sz="8" w:space="0"/>
              <w:right w:val="single" w:color="000000" w:sz="8" w:space="0"/>
            </w:tcBorders>
            <w:vAlign w:val="center"/>
          </w:tcPr>
          <w:p w14:paraId="632B02D6">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EBV Nuclear Antigen</w:t>
            </w:r>
          </w:p>
        </w:tc>
      </w:tr>
      <w:tr w14:paraId="0AE24BCD">
        <w:tc>
          <w:tcPr>
            <w:tcW w:w="976" w:type="pct"/>
            <w:tcBorders>
              <w:top w:val="single" w:color="000000" w:sz="8" w:space="0"/>
              <w:left w:val="single" w:color="000000" w:sz="8" w:space="0"/>
              <w:bottom w:val="single" w:color="000000" w:sz="8" w:space="0"/>
              <w:right w:val="single" w:color="000000" w:sz="8" w:space="0"/>
            </w:tcBorders>
            <w:vAlign w:val="center"/>
          </w:tcPr>
          <w:p w14:paraId="76CA225E">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ECOG</w:t>
            </w:r>
          </w:p>
        </w:tc>
        <w:tc>
          <w:tcPr>
            <w:tcW w:w="4023" w:type="pct"/>
            <w:tcBorders>
              <w:top w:val="single" w:color="000000" w:sz="8" w:space="0"/>
              <w:left w:val="single" w:color="000000" w:sz="8" w:space="0"/>
              <w:bottom w:val="single" w:color="000000" w:sz="8" w:space="0"/>
              <w:right w:val="single" w:color="000000" w:sz="8" w:space="0"/>
            </w:tcBorders>
            <w:vAlign w:val="center"/>
          </w:tcPr>
          <w:p w14:paraId="14319CBD">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Eastern Cooperative Oncology Group</w:t>
            </w:r>
          </w:p>
        </w:tc>
      </w:tr>
      <w:tr w14:paraId="0E7074C3">
        <w:tc>
          <w:tcPr>
            <w:tcW w:w="976" w:type="pct"/>
            <w:tcBorders>
              <w:top w:val="single" w:color="000000" w:sz="8" w:space="0"/>
              <w:left w:val="single" w:color="000000" w:sz="8" w:space="0"/>
              <w:bottom w:val="single" w:color="000000" w:sz="8" w:space="0"/>
              <w:right w:val="single" w:color="000000" w:sz="8" w:space="0"/>
            </w:tcBorders>
            <w:vAlign w:val="center"/>
          </w:tcPr>
          <w:p w14:paraId="1A7E1898">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EDC</w:t>
            </w:r>
          </w:p>
        </w:tc>
        <w:tc>
          <w:tcPr>
            <w:tcW w:w="4023" w:type="pct"/>
            <w:tcBorders>
              <w:top w:val="single" w:color="000000" w:sz="8" w:space="0"/>
              <w:left w:val="single" w:color="000000" w:sz="8" w:space="0"/>
              <w:bottom w:val="single" w:color="000000" w:sz="8" w:space="0"/>
              <w:right w:val="single" w:color="000000" w:sz="8" w:space="0"/>
            </w:tcBorders>
            <w:vAlign w:val="center"/>
          </w:tcPr>
          <w:p w14:paraId="27367C31">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Electronic Data Capture</w:t>
            </w:r>
          </w:p>
        </w:tc>
      </w:tr>
      <w:tr w14:paraId="2DD1EDF5">
        <w:tc>
          <w:tcPr>
            <w:tcW w:w="976" w:type="pct"/>
            <w:tcBorders>
              <w:top w:val="single" w:color="000000" w:sz="8" w:space="0"/>
              <w:left w:val="single" w:color="000000" w:sz="8" w:space="0"/>
              <w:bottom w:val="single" w:color="000000" w:sz="8" w:space="0"/>
              <w:right w:val="single" w:color="000000" w:sz="8" w:space="0"/>
            </w:tcBorders>
            <w:vAlign w:val="center"/>
          </w:tcPr>
          <w:p w14:paraId="2CF5A0CC">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ECG</w:t>
            </w:r>
          </w:p>
        </w:tc>
        <w:tc>
          <w:tcPr>
            <w:tcW w:w="4023" w:type="pct"/>
            <w:tcBorders>
              <w:top w:val="single" w:color="000000" w:sz="8" w:space="0"/>
              <w:left w:val="single" w:color="000000" w:sz="8" w:space="0"/>
              <w:bottom w:val="single" w:color="000000" w:sz="8" w:space="0"/>
              <w:right w:val="single" w:color="000000" w:sz="8" w:space="0"/>
            </w:tcBorders>
            <w:vAlign w:val="center"/>
          </w:tcPr>
          <w:p w14:paraId="2A97F7FE">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Electrocardiogram</w:t>
            </w:r>
          </w:p>
        </w:tc>
      </w:tr>
      <w:tr w14:paraId="24EEB7E0">
        <w:tc>
          <w:tcPr>
            <w:tcW w:w="976" w:type="pct"/>
            <w:tcBorders>
              <w:top w:val="single" w:color="000000" w:sz="8" w:space="0"/>
              <w:left w:val="single" w:color="000000" w:sz="8" w:space="0"/>
              <w:bottom w:val="single" w:color="000000" w:sz="8" w:space="0"/>
              <w:right w:val="single" w:color="000000" w:sz="8" w:space="0"/>
            </w:tcBorders>
            <w:vAlign w:val="center"/>
          </w:tcPr>
          <w:p w14:paraId="02799FD3">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eCRF</w:t>
            </w:r>
          </w:p>
        </w:tc>
        <w:tc>
          <w:tcPr>
            <w:tcW w:w="4023" w:type="pct"/>
            <w:tcBorders>
              <w:top w:val="single" w:color="000000" w:sz="8" w:space="0"/>
              <w:left w:val="single" w:color="000000" w:sz="8" w:space="0"/>
              <w:bottom w:val="single" w:color="000000" w:sz="8" w:space="0"/>
              <w:right w:val="single" w:color="000000" w:sz="8" w:space="0"/>
            </w:tcBorders>
            <w:vAlign w:val="center"/>
          </w:tcPr>
          <w:p w14:paraId="65E6D008">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Electronic Case Report Form</w:t>
            </w:r>
          </w:p>
        </w:tc>
      </w:tr>
      <w:tr w14:paraId="6631D94A">
        <w:tc>
          <w:tcPr>
            <w:tcW w:w="976" w:type="pct"/>
            <w:tcBorders>
              <w:top w:val="single" w:color="000000" w:sz="8" w:space="0"/>
              <w:left w:val="single" w:color="000000" w:sz="8" w:space="0"/>
              <w:bottom w:val="single" w:color="000000" w:sz="8" w:space="0"/>
              <w:right w:val="single" w:color="000000" w:sz="8" w:space="0"/>
            </w:tcBorders>
            <w:vAlign w:val="center"/>
          </w:tcPr>
          <w:p w14:paraId="4F8DBBC1">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EOT</w:t>
            </w:r>
          </w:p>
        </w:tc>
        <w:tc>
          <w:tcPr>
            <w:tcW w:w="4023" w:type="pct"/>
            <w:tcBorders>
              <w:top w:val="single" w:color="000000" w:sz="8" w:space="0"/>
              <w:left w:val="single" w:color="000000" w:sz="8" w:space="0"/>
              <w:bottom w:val="single" w:color="000000" w:sz="8" w:space="0"/>
              <w:right w:val="single" w:color="000000" w:sz="8" w:space="0"/>
            </w:tcBorders>
            <w:vAlign w:val="center"/>
          </w:tcPr>
          <w:p w14:paraId="33225461">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End-of-Treatment</w:t>
            </w:r>
          </w:p>
        </w:tc>
      </w:tr>
      <w:tr w14:paraId="30CE6E64">
        <w:tc>
          <w:tcPr>
            <w:tcW w:w="976" w:type="pct"/>
            <w:tcBorders>
              <w:top w:val="single" w:color="000000" w:sz="8" w:space="0"/>
              <w:left w:val="single" w:color="000000" w:sz="8" w:space="0"/>
              <w:bottom w:val="single" w:color="000000" w:sz="8" w:space="0"/>
              <w:right w:val="single" w:color="000000" w:sz="8" w:space="0"/>
            </w:tcBorders>
            <w:vAlign w:val="center"/>
          </w:tcPr>
          <w:p w14:paraId="19764F0E">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EGFR</w:t>
            </w:r>
          </w:p>
        </w:tc>
        <w:tc>
          <w:tcPr>
            <w:tcW w:w="4023" w:type="pct"/>
            <w:tcBorders>
              <w:top w:val="single" w:color="000000" w:sz="8" w:space="0"/>
              <w:left w:val="single" w:color="000000" w:sz="8" w:space="0"/>
              <w:bottom w:val="single" w:color="000000" w:sz="8" w:space="0"/>
              <w:right w:val="single" w:color="000000" w:sz="8" w:space="0"/>
            </w:tcBorders>
            <w:vAlign w:val="center"/>
          </w:tcPr>
          <w:p w14:paraId="1DF0C698">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Epidermal Growth Factor Receptor</w:t>
            </w:r>
          </w:p>
        </w:tc>
      </w:tr>
      <w:tr w14:paraId="04A2D12E">
        <w:tc>
          <w:tcPr>
            <w:tcW w:w="976" w:type="pct"/>
            <w:tcBorders>
              <w:top w:val="single" w:color="000000" w:sz="8" w:space="0"/>
              <w:left w:val="single" w:color="000000" w:sz="8" w:space="0"/>
              <w:bottom w:val="single" w:color="000000" w:sz="8" w:space="0"/>
              <w:right w:val="single" w:color="000000" w:sz="8" w:space="0"/>
            </w:tcBorders>
            <w:vAlign w:val="center"/>
          </w:tcPr>
          <w:p w14:paraId="3B343D01">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Fc</w:t>
            </w:r>
          </w:p>
        </w:tc>
        <w:tc>
          <w:tcPr>
            <w:tcW w:w="4023" w:type="pct"/>
            <w:tcBorders>
              <w:top w:val="single" w:color="000000" w:sz="8" w:space="0"/>
              <w:left w:val="single" w:color="000000" w:sz="8" w:space="0"/>
              <w:bottom w:val="single" w:color="000000" w:sz="8" w:space="0"/>
              <w:right w:val="single" w:color="000000" w:sz="8" w:space="0"/>
            </w:tcBorders>
            <w:vAlign w:val="center"/>
          </w:tcPr>
          <w:p w14:paraId="6457D06A">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Fragment Crystallizable</w:t>
            </w:r>
          </w:p>
        </w:tc>
      </w:tr>
      <w:tr w14:paraId="23751CE3">
        <w:tc>
          <w:tcPr>
            <w:tcW w:w="976" w:type="pct"/>
            <w:tcBorders>
              <w:top w:val="single" w:color="000000" w:sz="8" w:space="0"/>
              <w:left w:val="single" w:color="000000" w:sz="8" w:space="0"/>
              <w:bottom w:val="single" w:color="000000" w:sz="8" w:space="0"/>
              <w:right w:val="single" w:color="000000" w:sz="8" w:space="0"/>
            </w:tcBorders>
            <w:vAlign w:val="center"/>
          </w:tcPr>
          <w:p w14:paraId="176BC21B">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FDG</w:t>
            </w:r>
          </w:p>
        </w:tc>
        <w:tc>
          <w:tcPr>
            <w:tcW w:w="4023" w:type="pct"/>
            <w:tcBorders>
              <w:top w:val="single" w:color="000000" w:sz="8" w:space="0"/>
              <w:left w:val="single" w:color="000000" w:sz="8" w:space="0"/>
              <w:bottom w:val="single" w:color="000000" w:sz="8" w:space="0"/>
              <w:right w:val="single" w:color="000000" w:sz="8" w:space="0"/>
            </w:tcBorders>
            <w:vAlign w:val="center"/>
          </w:tcPr>
          <w:p w14:paraId="5DBE2547">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Fluorodeoxyglucose</w:t>
            </w:r>
          </w:p>
        </w:tc>
      </w:tr>
      <w:tr w14:paraId="0EB57935">
        <w:tc>
          <w:tcPr>
            <w:tcW w:w="976" w:type="pct"/>
            <w:tcBorders>
              <w:top w:val="single" w:color="000000" w:sz="8" w:space="0"/>
              <w:left w:val="single" w:color="000000" w:sz="8" w:space="0"/>
              <w:bottom w:val="single" w:color="000000" w:sz="8" w:space="0"/>
              <w:right w:val="single" w:color="000000" w:sz="8" w:space="0"/>
            </w:tcBorders>
            <w:vAlign w:val="center"/>
          </w:tcPr>
          <w:p w14:paraId="0276E1C4">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FFPE</w:t>
            </w:r>
          </w:p>
        </w:tc>
        <w:tc>
          <w:tcPr>
            <w:tcW w:w="4023" w:type="pct"/>
            <w:tcBorders>
              <w:top w:val="single" w:color="000000" w:sz="8" w:space="0"/>
              <w:left w:val="single" w:color="000000" w:sz="8" w:space="0"/>
              <w:bottom w:val="single" w:color="000000" w:sz="8" w:space="0"/>
              <w:right w:val="single" w:color="000000" w:sz="8" w:space="0"/>
            </w:tcBorders>
            <w:vAlign w:val="center"/>
          </w:tcPr>
          <w:p w14:paraId="04B69377">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Formalin-Fixed Paraffin-Embedded</w:t>
            </w:r>
          </w:p>
        </w:tc>
      </w:tr>
      <w:tr w14:paraId="39AA04BD">
        <w:tc>
          <w:tcPr>
            <w:tcW w:w="976" w:type="pct"/>
            <w:tcBorders>
              <w:top w:val="single" w:color="000000" w:sz="8" w:space="0"/>
              <w:left w:val="single" w:color="000000" w:sz="8" w:space="0"/>
              <w:bottom w:val="single" w:color="000000" w:sz="8" w:space="0"/>
              <w:right w:val="single" w:color="000000" w:sz="8" w:space="0"/>
            </w:tcBorders>
            <w:vAlign w:val="center"/>
          </w:tcPr>
          <w:p w14:paraId="43A7FCDA">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GCP</w:t>
            </w:r>
          </w:p>
        </w:tc>
        <w:tc>
          <w:tcPr>
            <w:tcW w:w="4023" w:type="pct"/>
            <w:tcBorders>
              <w:top w:val="single" w:color="000000" w:sz="8" w:space="0"/>
              <w:left w:val="single" w:color="000000" w:sz="8" w:space="0"/>
              <w:bottom w:val="single" w:color="000000" w:sz="8" w:space="0"/>
              <w:right w:val="single" w:color="000000" w:sz="8" w:space="0"/>
            </w:tcBorders>
            <w:vAlign w:val="center"/>
          </w:tcPr>
          <w:p w14:paraId="2F162DD8">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Good Clinical Practice</w:t>
            </w:r>
          </w:p>
        </w:tc>
      </w:tr>
      <w:tr w14:paraId="7D937EAD">
        <w:tc>
          <w:tcPr>
            <w:tcW w:w="976" w:type="pct"/>
            <w:tcBorders>
              <w:top w:val="single" w:color="000000" w:sz="8" w:space="0"/>
              <w:left w:val="single" w:color="000000" w:sz="8" w:space="0"/>
              <w:bottom w:val="single" w:color="000000" w:sz="8" w:space="0"/>
              <w:right w:val="single" w:color="000000" w:sz="8" w:space="0"/>
            </w:tcBorders>
            <w:vAlign w:val="center"/>
          </w:tcPr>
          <w:p w14:paraId="51ED488E">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GTV</w:t>
            </w:r>
          </w:p>
        </w:tc>
        <w:tc>
          <w:tcPr>
            <w:tcW w:w="4023" w:type="pct"/>
            <w:tcBorders>
              <w:top w:val="single" w:color="000000" w:sz="8" w:space="0"/>
              <w:left w:val="single" w:color="000000" w:sz="8" w:space="0"/>
              <w:bottom w:val="single" w:color="000000" w:sz="8" w:space="0"/>
              <w:right w:val="single" w:color="000000" w:sz="8" w:space="0"/>
            </w:tcBorders>
            <w:vAlign w:val="center"/>
          </w:tcPr>
          <w:p w14:paraId="57C32967">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Gross Tumor Volume</w:t>
            </w:r>
          </w:p>
        </w:tc>
      </w:tr>
      <w:tr w14:paraId="79797A51">
        <w:tc>
          <w:tcPr>
            <w:tcW w:w="976" w:type="pct"/>
            <w:tcBorders>
              <w:top w:val="single" w:color="000000" w:sz="8" w:space="0"/>
              <w:left w:val="single" w:color="000000" w:sz="8" w:space="0"/>
              <w:bottom w:val="single" w:color="000000" w:sz="8" w:space="0"/>
              <w:right w:val="single" w:color="000000" w:sz="8" w:space="0"/>
            </w:tcBorders>
            <w:vAlign w:val="center"/>
          </w:tcPr>
          <w:p w14:paraId="19667E1C">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Gy</w:t>
            </w:r>
          </w:p>
        </w:tc>
        <w:tc>
          <w:tcPr>
            <w:tcW w:w="4023" w:type="pct"/>
            <w:tcBorders>
              <w:top w:val="single" w:color="000000" w:sz="8" w:space="0"/>
              <w:left w:val="single" w:color="000000" w:sz="8" w:space="0"/>
              <w:bottom w:val="single" w:color="000000" w:sz="8" w:space="0"/>
              <w:right w:val="single" w:color="000000" w:sz="8" w:space="0"/>
            </w:tcBorders>
            <w:vAlign w:val="center"/>
          </w:tcPr>
          <w:p w14:paraId="4253BCFB">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Gray</w:t>
            </w:r>
          </w:p>
        </w:tc>
      </w:tr>
      <w:tr w14:paraId="647F5876">
        <w:tc>
          <w:tcPr>
            <w:tcW w:w="976" w:type="pct"/>
            <w:tcBorders>
              <w:top w:val="single" w:color="000000" w:sz="8" w:space="0"/>
              <w:left w:val="single" w:color="000000" w:sz="8" w:space="0"/>
              <w:bottom w:val="single" w:color="000000" w:sz="8" w:space="0"/>
              <w:right w:val="single" w:color="000000" w:sz="8" w:space="0"/>
            </w:tcBorders>
            <w:vAlign w:val="center"/>
          </w:tcPr>
          <w:p w14:paraId="1CACBF3F">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H2</w:t>
            </w:r>
          </w:p>
        </w:tc>
        <w:tc>
          <w:tcPr>
            <w:tcW w:w="4023" w:type="pct"/>
            <w:tcBorders>
              <w:top w:val="single" w:color="000000" w:sz="8" w:space="0"/>
              <w:left w:val="single" w:color="000000" w:sz="8" w:space="0"/>
              <w:bottom w:val="single" w:color="000000" w:sz="8" w:space="0"/>
              <w:right w:val="single" w:color="000000" w:sz="8" w:space="0"/>
            </w:tcBorders>
            <w:vAlign w:val="center"/>
          </w:tcPr>
          <w:p w14:paraId="57AB4D12">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Histamine Type 2 Receptor</w:t>
            </w:r>
          </w:p>
        </w:tc>
      </w:tr>
      <w:tr w14:paraId="15733406">
        <w:tc>
          <w:tcPr>
            <w:tcW w:w="976" w:type="pct"/>
            <w:tcBorders>
              <w:top w:val="single" w:color="000000" w:sz="8" w:space="0"/>
              <w:left w:val="single" w:color="000000" w:sz="8" w:space="0"/>
              <w:bottom w:val="single" w:color="000000" w:sz="8" w:space="0"/>
              <w:right w:val="single" w:color="000000" w:sz="8" w:space="0"/>
            </w:tcBorders>
            <w:vAlign w:val="center"/>
          </w:tcPr>
          <w:p w14:paraId="506040AA">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HBc</w:t>
            </w:r>
          </w:p>
        </w:tc>
        <w:tc>
          <w:tcPr>
            <w:tcW w:w="4023" w:type="pct"/>
            <w:tcBorders>
              <w:top w:val="single" w:color="000000" w:sz="8" w:space="0"/>
              <w:left w:val="single" w:color="000000" w:sz="8" w:space="0"/>
              <w:bottom w:val="single" w:color="000000" w:sz="8" w:space="0"/>
              <w:right w:val="single" w:color="000000" w:sz="8" w:space="0"/>
            </w:tcBorders>
            <w:vAlign w:val="center"/>
          </w:tcPr>
          <w:p w14:paraId="5E2F473C">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Hepatitis B Core Antigen</w:t>
            </w:r>
          </w:p>
        </w:tc>
      </w:tr>
      <w:tr w14:paraId="288E8719">
        <w:tc>
          <w:tcPr>
            <w:tcW w:w="976" w:type="pct"/>
            <w:tcBorders>
              <w:top w:val="single" w:color="000000" w:sz="8" w:space="0"/>
              <w:left w:val="single" w:color="000000" w:sz="8" w:space="0"/>
              <w:bottom w:val="single" w:color="000000" w:sz="8" w:space="0"/>
              <w:right w:val="single" w:color="000000" w:sz="8" w:space="0"/>
            </w:tcBorders>
            <w:vAlign w:val="center"/>
          </w:tcPr>
          <w:p w14:paraId="76E7E5C8">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HBsAg</w:t>
            </w:r>
          </w:p>
        </w:tc>
        <w:tc>
          <w:tcPr>
            <w:tcW w:w="4023" w:type="pct"/>
            <w:tcBorders>
              <w:top w:val="single" w:color="000000" w:sz="8" w:space="0"/>
              <w:left w:val="single" w:color="000000" w:sz="8" w:space="0"/>
              <w:bottom w:val="single" w:color="000000" w:sz="8" w:space="0"/>
              <w:right w:val="single" w:color="000000" w:sz="8" w:space="0"/>
            </w:tcBorders>
            <w:vAlign w:val="center"/>
          </w:tcPr>
          <w:p w14:paraId="41D2D431">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Hepatitis B Surface Antigen</w:t>
            </w:r>
          </w:p>
        </w:tc>
      </w:tr>
      <w:tr w14:paraId="70DCF79F">
        <w:tc>
          <w:tcPr>
            <w:tcW w:w="976" w:type="pct"/>
            <w:tcBorders>
              <w:top w:val="single" w:color="000000" w:sz="8" w:space="0"/>
              <w:left w:val="single" w:color="000000" w:sz="8" w:space="0"/>
              <w:bottom w:val="single" w:color="000000" w:sz="8" w:space="0"/>
              <w:right w:val="single" w:color="000000" w:sz="8" w:space="0"/>
            </w:tcBorders>
            <w:vAlign w:val="center"/>
          </w:tcPr>
          <w:p w14:paraId="64C671B0">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HBV</w:t>
            </w:r>
          </w:p>
        </w:tc>
        <w:tc>
          <w:tcPr>
            <w:tcW w:w="4023" w:type="pct"/>
            <w:tcBorders>
              <w:top w:val="single" w:color="000000" w:sz="8" w:space="0"/>
              <w:left w:val="single" w:color="000000" w:sz="8" w:space="0"/>
              <w:bottom w:val="single" w:color="000000" w:sz="8" w:space="0"/>
              <w:right w:val="single" w:color="000000" w:sz="8" w:space="0"/>
            </w:tcBorders>
            <w:vAlign w:val="center"/>
          </w:tcPr>
          <w:p w14:paraId="7588E26D">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Hepatitis B Virus</w:t>
            </w:r>
          </w:p>
        </w:tc>
      </w:tr>
      <w:tr w14:paraId="168DFAF7">
        <w:tc>
          <w:tcPr>
            <w:tcW w:w="976" w:type="pct"/>
            <w:tcBorders>
              <w:top w:val="single" w:color="000000" w:sz="8" w:space="0"/>
              <w:left w:val="single" w:color="000000" w:sz="8" w:space="0"/>
              <w:bottom w:val="single" w:color="000000" w:sz="8" w:space="0"/>
              <w:right w:val="single" w:color="000000" w:sz="8" w:space="0"/>
            </w:tcBorders>
            <w:vAlign w:val="center"/>
          </w:tcPr>
          <w:p w14:paraId="276ABFE7">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HCV</w:t>
            </w:r>
          </w:p>
        </w:tc>
        <w:tc>
          <w:tcPr>
            <w:tcW w:w="4023" w:type="pct"/>
            <w:tcBorders>
              <w:top w:val="single" w:color="000000" w:sz="8" w:space="0"/>
              <w:left w:val="single" w:color="000000" w:sz="8" w:space="0"/>
              <w:bottom w:val="single" w:color="000000" w:sz="8" w:space="0"/>
              <w:right w:val="single" w:color="000000" w:sz="8" w:space="0"/>
            </w:tcBorders>
            <w:vAlign w:val="center"/>
          </w:tcPr>
          <w:p w14:paraId="7B10A086">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Hepatitis C Virus</w:t>
            </w:r>
          </w:p>
        </w:tc>
      </w:tr>
      <w:tr w14:paraId="1A3399D7">
        <w:tc>
          <w:tcPr>
            <w:tcW w:w="976" w:type="pct"/>
            <w:tcBorders>
              <w:top w:val="single" w:color="000000" w:sz="8" w:space="0"/>
              <w:left w:val="single" w:color="000000" w:sz="8" w:space="0"/>
              <w:bottom w:val="single" w:color="000000" w:sz="8" w:space="0"/>
              <w:right w:val="single" w:color="000000" w:sz="8" w:space="0"/>
            </w:tcBorders>
            <w:vAlign w:val="center"/>
          </w:tcPr>
          <w:p w14:paraId="2A9EA4E7">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HR</w:t>
            </w:r>
          </w:p>
        </w:tc>
        <w:tc>
          <w:tcPr>
            <w:tcW w:w="4023" w:type="pct"/>
            <w:tcBorders>
              <w:top w:val="single" w:color="000000" w:sz="8" w:space="0"/>
              <w:left w:val="single" w:color="000000" w:sz="8" w:space="0"/>
              <w:bottom w:val="single" w:color="000000" w:sz="8" w:space="0"/>
              <w:right w:val="single" w:color="000000" w:sz="8" w:space="0"/>
            </w:tcBorders>
            <w:vAlign w:val="center"/>
          </w:tcPr>
          <w:p w14:paraId="6EC60F39">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Hazard Ratio</w:t>
            </w:r>
          </w:p>
        </w:tc>
      </w:tr>
      <w:tr w14:paraId="76A11D68">
        <w:tc>
          <w:tcPr>
            <w:tcW w:w="976" w:type="pct"/>
            <w:tcBorders>
              <w:top w:val="single" w:color="000000" w:sz="8" w:space="0"/>
              <w:left w:val="single" w:color="000000" w:sz="8" w:space="0"/>
              <w:bottom w:val="single" w:color="000000" w:sz="8" w:space="0"/>
              <w:right w:val="single" w:color="000000" w:sz="8" w:space="0"/>
            </w:tcBorders>
            <w:vAlign w:val="center"/>
          </w:tcPr>
          <w:p w14:paraId="6CBAA9EC">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HIV</w:t>
            </w:r>
          </w:p>
        </w:tc>
        <w:tc>
          <w:tcPr>
            <w:tcW w:w="4023" w:type="pct"/>
            <w:tcBorders>
              <w:top w:val="single" w:color="000000" w:sz="8" w:space="0"/>
              <w:left w:val="single" w:color="000000" w:sz="8" w:space="0"/>
              <w:bottom w:val="single" w:color="000000" w:sz="8" w:space="0"/>
              <w:right w:val="single" w:color="000000" w:sz="8" w:space="0"/>
            </w:tcBorders>
            <w:vAlign w:val="center"/>
          </w:tcPr>
          <w:p w14:paraId="62F8EAB8">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Human Immunodeficiency Virus</w:t>
            </w:r>
          </w:p>
        </w:tc>
      </w:tr>
      <w:tr w14:paraId="19AEF17A">
        <w:tc>
          <w:tcPr>
            <w:tcW w:w="976" w:type="pct"/>
            <w:tcBorders>
              <w:top w:val="single" w:color="000000" w:sz="8" w:space="0"/>
              <w:left w:val="single" w:color="000000" w:sz="8" w:space="0"/>
              <w:bottom w:val="single" w:color="000000" w:sz="8" w:space="0"/>
              <w:right w:val="single" w:color="000000" w:sz="8" w:space="0"/>
            </w:tcBorders>
            <w:vAlign w:val="center"/>
          </w:tcPr>
          <w:p w14:paraId="660A03B1">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IgG</w:t>
            </w:r>
          </w:p>
        </w:tc>
        <w:tc>
          <w:tcPr>
            <w:tcW w:w="4023" w:type="pct"/>
            <w:tcBorders>
              <w:top w:val="single" w:color="000000" w:sz="8" w:space="0"/>
              <w:left w:val="single" w:color="000000" w:sz="8" w:space="0"/>
              <w:bottom w:val="single" w:color="000000" w:sz="8" w:space="0"/>
              <w:right w:val="single" w:color="000000" w:sz="8" w:space="0"/>
            </w:tcBorders>
            <w:vAlign w:val="center"/>
          </w:tcPr>
          <w:p w14:paraId="2B2164C8">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Immunoglobulin G</w:t>
            </w:r>
          </w:p>
        </w:tc>
      </w:tr>
      <w:tr w14:paraId="174EA25C">
        <w:tc>
          <w:tcPr>
            <w:tcW w:w="976" w:type="pct"/>
            <w:tcBorders>
              <w:top w:val="single" w:color="000000" w:sz="8" w:space="0"/>
              <w:left w:val="single" w:color="000000" w:sz="8" w:space="0"/>
              <w:bottom w:val="single" w:color="000000" w:sz="8" w:space="0"/>
              <w:right w:val="single" w:color="000000" w:sz="8" w:space="0"/>
            </w:tcBorders>
            <w:vAlign w:val="center"/>
          </w:tcPr>
          <w:p w14:paraId="5C73888A">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IgG1</w:t>
            </w:r>
          </w:p>
        </w:tc>
        <w:tc>
          <w:tcPr>
            <w:tcW w:w="4023" w:type="pct"/>
            <w:tcBorders>
              <w:top w:val="single" w:color="000000" w:sz="8" w:space="0"/>
              <w:left w:val="single" w:color="000000" w:sz="8" w:space="0"/>
              <w:bottom w:val="single" w:color="000000" w:sz="8" w:space="0"/>
              <w:right w:val="single" w:color="000000" w:sz="8" w:space="0"/>
            </w:tcBorders>
            <w:vAlign w:val="center"/>
          </w:tcPr>
          <w:p w14:paraId="23FE9B2C">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Immunoglobulin G1</w:t>
            </w:r>
          </w:p>
        </w:tc>
      </w:tr>
      <w:tr w14:paraId="75163B57">
        <w:tc>
          <w:tcPr>
            <w:tcW w:w="976" w:type="pct"/>
            <w:tcBorders>
              <w:top w:val="single" w:color="000000" w:sz="8" w:space="0"/>
              <w:left w:val="single" w:color="000000" w:sz="8" w:space="0"/>
              <w:bottom w:val="single" w:color="000000" w:sz="8" w:space="0"/>
              <w:right w:val="single" w:color="000000" w:sz="8" w:space="0"/>
            </w:tcBorders>
            <w:vAlign w:val="center"/>
          </w:tcPr>
          <w:p w14:paraId="41DCA006">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ICRU</w:t>
            </w:r>
          </w:p>
        </w:tc>
        <w:tc>
          <w:tcPr>
            <w:tcW w:w="4023" w:type="pct"/>
            <w:tcBorders>
              <w:top w:val="single" w:color="000000" w:sz="8" w:space="0"/>
              <w:left w:val="single" w:color="000000" w:sz="8" w:space="0"/>
              <w:bottom w:val="single" w:color="000000" w:sz="8" w:space="0"/>
              <w:right w:val="single" w:color="000000" w:sz="8" w:space="0"/>
            </w:tcBorders>
            <w:vAlign w:val="center"/>
          </w:tcPr>
          <w:p w14:paraId="3A611063">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International Commission on Radiation Units and Measurements</w:t>
            </w:r>
          </w:p>
        </w:tc>
      </w:tr>
      <w:tr w14:paraId="44E66894">
        <w:tc>
          <w:tcPr>
            <w:tcW w:w="976" w:type="pct"/>
            <w:tcBorders>
              <w:top w:val="single" w:color="000000" w:sz="8" w:space="0"/>
              <w:left w:val="single" w:color="000000" w:sz="8" w:space="0"/>
              <w:bottom w:val="single" w:color="000000" w:sz="8" w:space="0"/>
              <w:right w:val="single" w:color="000000" w:sz="8" w:space="0"/>
            </w:tcBorders>
            <w:vAlign w:val="center"/>
          </w:tcPr>
          <w:p w14:paraId="45169598">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ICF</w:t>
            </w:r>
          </w:p>
        </w:tc>
        <w:tc>
          <w:tcPr>
            <w:tcW w:w="4023" w:type="pct"/>
            <w:tcBorders>
              <w:top w:val="single" w:color="000000" w:sz="8" w:space="0"/>
              <w:left w:val="single" w:color="000000" w:sz="8" w:space="0"/>
              <w:bottom w:val="single" w:color="000000" w:sz="8" w:space="0"/>
              <w:right w:val="single" w:color="000000" w:sz="8" w:space="0"/>
            </w:tcBorders>
            <w:vAlign w:val="center"/>
          </w:tcPr>
          <w:p w14:paraId="45AF142B">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Informed Consent Form</w:t>
            </w:r>
          </w:p>
        </w:tc>
      </w:tr>
      <w:tr w14:paraId="095B7858">
        <w:tc>
          <w:tcPr>
            <w:tcW w:w="976" w:type="pct"/>
            <w:tcBorders>
              <w:top w:val="single" w:color="000000" w:sz="8" w:space="0"/>
              <w:left w:val="single" w:color="000000" w:sz="8" w:space="0"/>
              <w:bottom w:val="single" w:color="000000" w:sz="8" w:space="0"/>
              <w:right w:val="single" w:color="000000" w:sz="8" w:space="0"/>
            </w:tcBorders>
            <w:vAlign w:val="center"/>
          </w:tcPr>
          <w:p w14:paraId="10259789">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IEC</w:t>
            </w:r>
          </w:p>
        </w:tc>
        <w:tc>
          <w:tcPr>
            <w:tcW w:w="4023" w:type="pct"/>
            <w:tcBorders>
              <w:top w:val="single" w:color="000000" w:sz="8" w:space="0"/>
              <w:left w:val="single" w:color="000000" w:sz="8" w:space="0"/>
              <w:bottom w:val="single" w:color="000000" w:sz="8" w:space="0"/>
              <w:right w:val="single" w:color="000000" w:sz="8" w:space="0"/>
            </w:tcBorders>
            <w:vAlign w:val="center"/>
          </w:tcPr>
          <w:p w14:paraId="60648007">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Independent Ethics Committee</w:t>
            </w:r>
          </w:p>
        </w:tc>
      </w:tr>
      <w:tr w14:paraId="77BB8B09">
        <w:tc>
          <w:tcPr>
            <w:tcW w:w="976" w:type="pct"/>
            <w:tcBorders>
              <w:top w:val="single" w:color="000000" w:sz="8" w:space="0"/>
              <w:left w:val="single" w:color="000000" w:sz="8" w:space="0"/>
              <w:bottom w:val="single" w:color="000000" w:sz="8" w:space="0"/>
              <w:right w:val="single" w:color="000000" w:sz="8" w:space="0"/>
            </w:tcBorders>
            <w:vAlign w:val="center"/>
          </w:tcPr>
          <w:p w14:paraId="0FEE9C6F">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IMRT</w:t>
            </w:r>
          </w:p>
        </w:tc>
        <w:tc>
          <w:tcPr>
            <w:tcW w:w="4023" w:type="pct"/>
            <w:tcBorders>
              <w:top w:val="single" w:color="000000" w:sz="8" w:space="0"/>
              <w:left w:val="single" w:color="000000" w:sz="8" w:space="0"/>
              <w:bottom w:val="single" w:color="000000" w:sz="8" w:space="0"/>
              <w:right w:val="single" w:color="000000" w:sz="8" w:space="0"/>
            </w:tcBorders>
            <w:vAlign w:val="center"/>
          </w:tcPr>
          <w:p w14:paraId="1EF145B1">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Intensity-Modulated Radiation Therapy</w:t>
            </w:r>
          </w:p>
        </w:tc>
      </w:tr>
      <w:tr w14:paraId="5E8A13A3">
        <w:tc>
          <w:tcPr>
            <w:tcW w:w="976" w:type="pct"/>
            <w:tcBorders>
              <w:top w:val="single" w:color="000000" w:sz="8" w:space="0"/>
              <w:left w:val="single" w:color="000000" w:sz="8" w:space="0"/>
              <w:bottom w:val="single" w:color="000000" w:sz="8" w:space="0"/>
              <w:right w:val="single" w:color="000000" w:sz="8" w:space="0"/>
            </w:tcBorders>
            <w:vAlign w:val="center"/>
          </w:tcPr>
          <w:p w14:paraId="4FDC2ACD">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INR</w:t>
            </w:r>
          </w:p>
        </w:tc>
        <w:tc>
          <w:tcPr>
            <w:tcW w:w="4023" w:type="pct"/>
            <w:tcBorders>
              <w:top w:val="single" w:color="000000" w:sz="8" w:space="0"/>
              <w:left w:val="single" w:color="000000" w:sz="8" w:space="0"/>
              <w:bottom w:val="single" w:color="000000" w:sz="8" w:space="0"/>
              <w:right w:val="single" w:color="000000" w:sz="8" w:space="0"/>
            </w:tcBorders>
            <w:vAlign w:val="center"/>
          </w:tcPr>
          <w:p w14:paraId="253CFBDC">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International Normalized Ratio</w:t>
            </w:r>
          </w:p>
        </w:tc>
      </w:tr>
      <w:tr w14:paraId="4D2FFEA6">
        <w:tc>
          <w:tcPr>
            <w:tcW w:w="976" w:type="pct"/>
            <w:tcBorders>
              <w:top w:val="single" w:color="000000" w:sz="8" w:space="0"/>
              <w:left w:val="single" w:color="000000" w:sz="8" w:space="0"/>
              <w:bottom w:val="single" w:color="000000" w:sz="8" w:space="0"/>
              <w:right w:val="single" w:color="000000" w:sz="8" w:space="0"/>
            </w:tcBorders>
            <w:vAlign w:val="center"/>
          </w:tcPr>
          <w:p w14:paraId="676D2FBA">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IQR</w:t>
            </w:r>
          </w:p>
        </w:tc>
        <w:tc>
          <w:tcPr>
            <w:tcW w:w="4023" w:type="pct"/>
            <w:tcBorders>
              <w:top w:val="single" w:color="000000" w:sz="8" w:space="0"/>
              <w:left w:val="single" w:color="000000" w:sz="8" w:space="0"/>
              <w:bottom w:val="single" w:color="000000" w:sz="8" w:space="0"/>
              <w:right w:val="single" w:color="000000" w:sz="8" w:space="0"/>
            </w:tcBorders>
            <w:vAlign w:val="center"/>
          </w:tcPr>
          <w:p w14:paraId="02E7C482">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Interquartile Range</w:t>
            </w:r>
          </w:p>
        </w:tc>
      </w:tr>
      <w:tr w14:paraId="4328A994">
        <w:tc>
          <w:tcPr>
            <w:tcW w:w="976" w:type="pct"/>
            <w:tcBorders>
              <w:top w:val="single" w:color="000000" w:sz="8" w:space="0"/>
              <w:left w:val="single" w:color="000000" w:sz="8" w:space="0"/>
              <w:bottom w:val="single" w:color="000000" w:sz="8" w:space="0"/>
              <w:right w:val="single" w:color="000000" w:sz="8" w:space="0"/>
            </w:tcBorders>
            <w:vAlign w:val="center"/>
          </w:tcPr>
          <w:p w14:paraId="37C7B7EA">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IRB</w:t>
            </w:r>
          </w:p>
        </w:tc>
        <w:tc>
          <w:tcPr>
            <w:tcW w:w="4023" w:type="pct"/>
            <w:tcBorders>
              <w:top w:val="single" w:color="000000" w:sz="8" w:space="0"/>
              <w:left w:val="single" w:color="000000" w:sz="8" w:space="0"/>
              <w:bottom w:val="single" w:color="000000" w:sz="8" w:space="0"/>
              <w:right w:val="single" w:color="000000" w:sz="8" w:space="0"/>
            </w:tcBorders>
            <w:vAlign w:val="center"/>
          </w:tcPr>
          <w:p w14:paraId="2012988A">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Institutional Review Board</w:t>
            </w:r>
          </w:p>
        </w:tc>
      </w:tr>
      <w:tr w14:paraId="1089BA67">
        <w:tc>
          <w:tcPr>
            <w:tcW w:w="976" w:type="pct"/>
            <w:tcBorders>
              <w:top w:val="single" w:color="000000" w:sz="8" w:space="0"/>
              <w:left w:val="single" w:color="000000" w:sz="8" w:space="0"/>
              <w:bottom w:val="single" w:color="000000" w:sz="8" w:space="0"/>
              <w:right w:val="single" w:color="000000" w:sz="8" w:space="0"/>
            </w:tcBorders>
            <w:vAlign w:val="center"/>
          </w:tcPr>
          <w:p w14:paraId="30872602">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irAE</w:t>
            </w:r>
          </w:p>
        </w:tc>
        <w:tc>
          <w:tcPr>
            <w:tcW w:w="4023" w:type="pct"/>
            <w:tcBorders>
              <w:top w:val="single" w:color="000000" w:sz="8" w:space="0"/>
              <w:left w:val="single" w:color="000000" w:sz="8" w:space="0"/>
              <w:bottom w:val="single" w:color="000000" w:sz="8" w:space="0"/>
              <w:right w:val="single" w:color="000000" w:sz="8" w:space="0"/>
            </w:tcBorders>
            <w:vAlign w:val="center"/>
          </w:tcPr>
          <w:p w14:paraId="3EC58596">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Immune-Related Adverse Event</w:t>
            </w:r>
          </w:p>
        </w:tc>
      </w:tr>
      <w:tr w14:paraId="735F2672">
        <w:tc>
          <w:tcPr>
            <w:tcW w:w="976" w:type="pct"/>
            <w:tcBorders>
              <w:top w:val="single" w:color="000000" w:sz="8" w:space="0"/>
              <w:left w:val="single" w:color="000000" w:sz="8" w:space="0"/>
              <w:bottom w:val="single" w:color="000000" w:sz="8" w:space="0"/>
              <w:right w:val="single" w:color="000000" w:sz="8" w:space="0"/>
            </w:tcBorders>
            <w:vAlign w:val="center"/>
          </w:tcPr>
          <w:p w14:paraId="70B30B38">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irRC</w:t>
            </w:r>
          </w:p>
        </w:tc>
        <w:tc>
          <w:tcPr>
            <w:tcW w:w="4023" w:type="pct"/>
            <w:tcBorders>
              <w:top w:val="single" w:color="000000" w:sz="8" w:space="0"/>
              <w:left w:val="single" w:color="000000" w:sz="8" w:space="0"/>
              <w:bottom w:val="single" w:color="000000" w:sz="8" w:space="0"/>
              <w:right w:val="single" w:color="000000" w:sz="8" w:space="0"/>
            </w:tcBorders>
            <w:vAlign w:val="center"/>
          </w:tcPr>
          <w:p w14:paraId="65808342">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Immune-Related Response Criteria</w:t>
            </w:r>
          </w:p>
        </w:tc>
      </w:tr>
      <w:tr w14:paraId="06B6A018">
        <w:tc>
          <w:tcPr>
            <w:tcW w:w="976" w:type="pct"/>
            <w:tcBorders>
              <w:top w:val="single" w:color="000000" w:sz="8" w:space="0"/>
              <w:left w:val="single" w:color="000000" w:sz="8" w:space="0"/>
              <w:bottom w:val="single" w:color="000000" w:sz="8" w:space="0"/>
              <w:right w:val="single" w:color="000000" w:sz="8" w:space="0"/>
            </w:tcBorders>
            <w:vAlign w:val="center"/>
          </w:tcPr>
          <w:p w14:paraId="6AA670BE">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ITT</w:t>
            </w:r>
          </w:p>
        </w:tc>
        <w:tc>
          <w:tcPr>
            <w:tcW w:w="4023" w:type="pct"/>
            <w:tcBorders>
              <w:top w:val="single" w:color="000000" w:sz="8" w:space="0"/>
              <w:left w:val="single" w:color="000000" w:sz="8" w:space="0"/>
              <w:bottom w:val="single" w:color="000000" w:sz="8" w:space="0"/>
              <w:right w:val="single" w:color="000000" w:sz="8" w:space="0"/>
            </w:tcBorders>
            <w:vAlign w:val="center"/>
          </w:tcPr>
          <w:p w14:paraId="7E0A2446">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Intent-to-Treat</w:t>
            </w:r>
          </w:p>
        </w:tc>
      </w:tr>
      <w:tr w14:paraId="640BD842">
        <w:tc>
          <w:tcPr>
            <w:tcW w:w="976" w:type="pct"/>
            <w:tcBorders>
              <w:top w:val="single" w:color="000000" w:sz="8" w:space="0"/>
              <w:left w:val="single" w:color="000000" w:sz="8" w:space="0"/>
              <w:bottom w:val="single" w:color="000000" w:sz="8" w:space="0"/>
              <w:right w:val="single" w:color="000000" w:sz="8" w:space="0"/>
            </w:tcBorders>
            <w:vAlign w:val="center"/>
          </w:tcPr>
          <w:p w14:paraId="3C299FC3">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ITV</w:t>
            </w:r>
          </w:p>
        </w:tc>
        <w:tc>
          <w:tcPr>
            <w:tcW w:w="4023" w:type="pct"/>
            <w:tcBorders>
              <w:top w:val="single" w:color="000000" w:sz="8" w:space="0"/>
              <w:left w:val="single" w:color="000000" w:sz="8" w:space="0"/>
              <w:bottom w:val="single" w:color="000000" w:sz="8" w:space="0"/>
              <w:right w:val="single" w:color="000000" w:sz="8" w:space="0"/>
            </w:tcBorders>
            <w:vAlign w:val="center"/>
          </w:tcPr>
          <w:p w14:paraId="12627DF9">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Internal Target Volume</w:t>
            </w:r>
          </w:p>
        </w:tc>
      </w:tr>
      <w:tr w14:paraId="36F84EC4">
        <w:tc>
          <w:tcPr>
            <w:tcW w:w="976" w:type="pct"/>
            <w:tcBorders>
              <w:top w:val="single" w:color="000000" w:sz="8" w:space="0"/>
              <w:left w:val="single" w:color="000000" w:sz="8" w:space="0"/>
              <w:bottom w:val="single" w:color="000000" w:sz="8" w:space="0"/>
              <w:right w:val="single" w:color="000000" w:sz="8" w:space="0"/>
            </w:tcBorders>
            <w:vAlign w:val="center"/>
          </w:tcPr>
          <w:p w14:paraId="5B1178C8">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IUD</w:t>
            </w:r>
          </w:p>
        </w:tc>
        <w:tc>
          <w:tcPr>
            <w:tcW w:w="4023" w:type="pct"/>
            <w:tcBorders>
              <w:top w:val="single" w:color="000000" w:sz="8" w:space="0"/>
              <w:left w:val="single" w:color="000000" w:sz="8" w:space="0"/>
              <w:bottom w:val="single" w:color="000000" w:sz="8" w:space="0"/>
              <w:right w:val="single" w:color="000000" w:sz="8" w:space="0"/>
            </w:tcBorders>
            <w:vAlign w:val="center"/>
          </w:tcPr>
          <w:p w14:paraId="26C91123">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Intrauterine Device</w:t>
            </w:r>
          </w:p>
        </w:tc>
      </w:tr>
      <w:tr w14:paraId="780FAFCC">
        <w:tc>
          <w:tcPr>
            <w:tcW w:w="976" w:type="pct"/>
            <w:tcBorders>
              <w:top w:val="single" w:color="000000" w:sz="8" w:space="0"/>
              <w:left w:val="single" w:color="000000" w:sz="8" w:space="0"/>
              <w:bottom w:val="single" w:color="000000" w:sz="8" w:space="0"/>
              <w:right w:val="single" w:color="000000" w:sz="8" w:space="0"/>
            </w:tcBorders>
            <w:vAlign w:val="center"/>
          </w:tcPr>
          <w:p w14:paraId="1716E934">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IUS</w:t>
            </w:r>
          </w:p>
        </w:tc>
        <w:tc>
          <w:tcPr>
            <w:tcW w:w="4023" w:type="pct"/>
            <w:tcBorders>
              <w:top w:val="single" w:color="000000" w:sz="8" w:space="0"/>
              <w:left w:val="single" w:color="000000" w:sz="8" w:space="0"/>
              <w:bottom w:val="single" w:color="000000" w:sz="8" w:space="0"/>
              <w:right w:val="single" w:color="000000" w:sz="8" w:space="0"/>
            </w:tcBorders>
            <w:vAlign w:val="center"/>
          </w:tcPr>
          <w:p w14:paraId="0DDFB61E">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Intrauterine System</w:t>
            </w:r>
          </w:p>
        </w:tc>
      </w:tr>
      <w:tr w14:paraId="01DD7959">
        <w:tc>
          <w:tcPr>
            <w:tcW w:w="976" w:type="pct"/>
            <w:tcBorders>
              <w:top w:val="single" w:color="000000" w:sz="8" w:space="0"/>
              <w:left w:val="single" w:color="000000" w:sz="8" w:space="0"/>
              <w:bottom w:val="single" w:color="000000" w:sz="8" w:space="0"/>
              <w:right w:val="single" w:color="000000" w:sz="8" w:space="0"/>
            </w:tcBorders>
            <w:vAlign w:val="center"/>
          </w:tcPr>
          <w:p w14:paraId="2FFC0BD0">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IV</w:t>
            </w:r>
          </w:p>
        </w:tc>
        <w:tc>
          <w:tcPr>
            <w:tcW w:w="4023" w:type="pct"/>
            <w:tcBorders>
              <w:top w:val="single" w:color="000000" w:sz="8" w:space="0"/>
              <w:left w:val="single" w:color="000000" w:sz="8" w:space="0"/>
              <w:bottom w:val="single" w:color="000000" w:sz="8" w:space="0"/>
              <w:right w:val="single" w:color="000000" w:sz="8" w:space="0"/>
            </w:tcBorders>
            <w:vAlign w:val="center"/>
          </w:tcPr>
          <w:p w14:paraId="5EFABF50">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Intravenous Injection</w:t>
            </w:r>
          </w:p>
        </w:tc>
      </w:tr>
      <w:tr w14:paraId="41A5BC88">
        <w:tc>
          <w:tcPr>
            <w:tcW w:w="976" w:type="pct"/>
            <w:tcBorders>
              <w:top w:val="single" w:color="000000" w:sz="8" w:space="0"/>
              <w:left w:val="single" w:color="000000" w:sz="8" w:space="0"/>
              <w:bottom w:val="single" w:color="000000" w:sz="8" w:space="0"/>
              <w:right w:val="single" w:color="000000" w:sz="8" w:space="0"/>
            </w:tcBorders>
            <w:vAlign w:val="center"/>
          </w:tcPr>
          <w:p w14:paraId="657A742F">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LDH</w:t>
            </w:r>
          </w:p>
        </w:tc>
        <w:tc>
          <w:tcPr>
            <w:tcW w:w="4023" w:type="pct"/>
            <w:tcBorders>
              <w:top w:val="single" w:color="000000" w:sz="8" w:space="0"/>
              <w:left w:val="single" w:color="000000" w:sz="8" w:space="0"/>
              <w:bottom w:val="single" w:color="000000" w:sz="8" w:space="0"/>
              <w:right w:val="single" w:color="000000" w:sz="8" w:space="0"/>
            </w:tcBorders>
            <w:vAlign w:val="center"/>
          </w:tcPr>
          <w:p w14:paraId="778AEB64">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Lactate Dehydrogenase</w:t>
            </w:r>
          </w:p>
        </w:tc>
      </w:tr>
      <w:tr w14:paraId="433A34E2">
        <w:tc>
          <w:tcPr>
            <w:tcW w:w="976" w:type="pct"/>
            <w:tcBorders>
              <w:top w:val="single" w:color="000000" w:sz="8" w:space="0"/>
              <w:left w:val="single" w:color="000000" w:sz="8" w:space="0"/>
              <w:bottom w:val="single" w:color="000000" w:sz="8" w:space="0"/>
              <w:right w:val="single" w:color="000000" w:sz="8" w:space="0"/>
            </w:tcBorders>
            <w:vAlign w:val="center"/>
          </w:tcPr>
          <w:p w14:paraId="5B3065D8">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LFT</w:t>
            </w:r>
          </w:p>
        </w:tc>
        <w:tc>
          <w:tcPr>
            <w:tcW w:w="4023" w:type="pct"/>
            <w:tcBorders>
              <w:top w:val="single" w:color="000000" w:sz="8" w:space="0"/>
              <w:left w:val="single" w:color="000000" w:sz="8" w:space="0"/>
              <w:bottom w:val="single" w:color="000000" w:sz="8" w:space="0"/>
              <w:right w:val="single" w:color="000000" w:sz="8" w:space="0"/>
            </w:tcBorders>
            <w:vAlign w:val="center"/>
          </w:tcPr>
          <w:p w14:paraId="38F7A2EE">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Liver Function Test</w:t>
            </w:r>
          </w:p>
        </w:tc>
      </w:tr>
      <w:tr w14:paraId="575B9757">
        <w:tc>
          <w:tcPr>
            <w:tcW w:w="976" w:type="pct"/>
            <w:tcBorders>
              <w:top w:val="single" w:color="000000" w:sz="8" w:space="0"/>
              <w:left w:val="single" w:color="000000" w:sz="8" w:space="0"/>
              <w:bottom w:val="single" w:color="000000" w:sz="8" w:space="0"/>
              <w:right w:val="single" w:color="000000" w:sz="8" w:space="0"/>
            </w:tcBorders>
            <w:vAlign w:val="center"/>
          </w:tcPr>
          <w:p w14:paraId="53DEC737">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LVEF</w:t>
            </w:r>
          </w:p>
        </w:tc>
        <w:tc>
          <w:tcPr>
            <w:tcW w:w="4023" w:type="pct"/>
            <w:tcBorders>
              <w:top w:val="single" w:color="000000" w:sz="8" w:space="0"/>
              <w:left w:val="single" w:color="000000" w:sz="8" w:space="0"/>
              <w:bottom w:val="single" w:color="000000" w:sz="8" w:space="0"/>
              <w:right w:val="single" w:color="000000" w:sz="8" w:space="0"/>
            </w:tcBorders>
            <w:vAlign w:val="center"/>
          </w:tcPr>
          <w:p w14:paraId="3D56E948">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Left Ventricular Ejection Fraction</w:t>
            </w:r>
          </w:p>
        </w:tc>
      </w:tr>
      <w:tr w14:paraId="0CBE12A8">
        <w:tc>
          <w:tcPr>
            <w:tcW w:w="976" w:type="pct"/>
            <w:tcBorders>
              <w:top w:val="single" w:color="000000" w:sz="8" w:space="0"/>
              <w:left w:val="single" w:color="000000" w:sz="8" w:space="0"/>
              <w:bottom w:val="single" w:color="000000" w:sz="8" w:space="0"/>
              <w:right w:val="single" w:color="000000" w:sz="8" w:space="0"/>
            </w:tcBorders>
            <w:vAlign w:val="center"/>
          </w:tcPr>
          <w:p w14:paraId="7D2E7D3F">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MMF</w:t>
            </w:r>
          </w:p>
        </w:tc>
        <w:tc>
          <w:tcPr>
            <w:tcW w:w="4023" w:type="pct"/>
            <w:tcBorders>
              <w:top w:val="single" w:color="000000" w:sz="8" w:space="0"/>
              <w:left w:val="single" w:color="000000" w:sz="8" w:space="0"/>
              <w:bottom w:val="single" w:color="000000" w:sz="8" w:space="0"/>
              <w:right w:val="single" w:color="000000" w:sz="8" w:space="0"/>
            </w:tcBorders>
            <w:vAlign w:val="center"/>
          </w:tcPr>
          <w:p w14:paraId="3C486F26">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Mycophenolate Mofetil</w:t>
            </w:r>
          </w:p>
        </w:tc>
      </w:tr>
      <w:tr w14:paraId="6841E9BA">
        <w:tc>
          <w:tcPr>
            <w:tcW w:w="976" w:type="pct"/>
            <w:tcBorders>
              <w:top w:val="single" w:color="000000" w:sz="8" w:space="0"/>
              <w:left w:val="single" w:color="000000" w:sz="8" w:space="0"/>
              <w:bottom w:val="single" w:color="000000" w:sz="8" w:space="0"/>
              <w:right w:val="single" w:color="000000" w:sz="8" w:space="0"/>
            </w:tcBorders>
            <w:vAlign w:val="center"/>
          </w:tcPr>
          <w:p w14:paraId="746B37FF">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MPS</w:t>
            </w:r>
          </w:p>
        </w:tc>
        <w:tc>
          <w:tcPr>
            <w:tcW w:w="4023" w:type="pct"/>
            <w:tcBorders>
              <w:top w:val="single" w:color="000000" w:sz="8" w:space="0"/>
              <w:left w:val="single" w:color="000000" w:sz="8" w:space="0"/>
              <w:bottom w:val="single" w:color="000000" w:sz="8" w:space="0"/>
              <w:right w:val="single" w:color="000000" w:sz="8" w:space="0"/>
            </w:tcBorders>
            <w:vAlign w:val="center"/>
          </w:tcPr>
          <w:p w14:paraId="3A3AF934">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Modified Proportion Score</w:t>
            </w:r>
          </w:p>
        </w:tc>
      </w:tr>
      <w:tr w14:paraId="144CB7F5">
        <w:tc>
          <w:tcPr>
            <w:tcW w:w="976" w:type="pct"/>
            <w:tcBorders>
              <w:top w:val="single" w:color="000000" w:sz="8" w:space="0"/>
              <w:left w:val="single" w:color="000000" w:sz="8" w:space="0"/>
              <w:bottom w:val="single" w:color="000000" w:sz="8" w:space="0"/>
              <w:right w:val="single" w:color="000000" w:sz="8" w:space="0"/>
            </w:tcBorders>
            <w:vAlign w:val="center"/>
          </w:tcPr>
          <w:p w14:paraId="1CCBC526">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MSD</w:t>
            </w:r>
          </w:p>
        </w:tc>
        <w:tc>
          <w:tcPr>
            <w:tcW w:w="4023" w:type="pct"/>
            <w:tcBorders>
              <w:top w:val="single" w:color="000000" w:sz="8" w:space="0"/>
              <w:left w:val="single" w:color="000000" w:sz="8" w:space="0"/>
              <w:bottom w:val="single" w:color="000000" w:sz="8" w:space="0"/>
              <w:right w:val="single" w:color="000000" w:sz="8" w:space="0"/>
            </w:tcBorders>
            <w:vAlign w:val="center"/>
          </w:tcPr>
          <w:p w14:paraId="7E861F2A">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Minimum Sum of Dimensions</w:t>
            </w:r>
          </w:p>
        </w:tc>
      </w:tr>
      <w:tr w14:paraId="7960C5B6">
        <w:tc>
          <w:tcPr>
            <w:tcW w:w="976" w:type="pct"/>
            <w:tcBorders>
              <w:top w:val="single" w:color="000000" w:sz="8" w:space="0"/>
              <w:left w:val="single" w:color="000000" w:sz="8" w:space="0"/>
              <w:bottom w:val="single" w:color="000000" w:sz="8" w:space="0"/>
              <w:right w:val="single" w:color="000000" w:sz="8" w:space="0"/>
            </w:tcBorders>
            <w:vAlign w:val="center"/>
          </w:tcPr>
          <w:p w14:paraId="6025EAF8">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NCI</w:t>
            </w:r>
          </w:p>
        </w:tc>
        <w:tc>
          <w:tcPr>
            <w:tcW w:w="4023" w:type="pct"/>
            <w:tcBorders>
              <w:top w:val="single" w:color="000000" w:sz="8" w:space="0"/>
              <w:left w:val="single" w:color="000000" w:sz="8" w:space="0"/>
              <w:bottom w:val="single" w:color="000000" w:sz="8" w:space="0"/>
              <w:right w:val="single" w:color="000000" w:sz="8" w:space="0"/>
            </w:tcBorders>
            <w:vAlign w:val="center"/>
          </w:tcPr>
          <w:p w14:paraId="1D8B6446">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National Cancer Institute</w:t>
            </w:r>
          </w:p>
        </w:tc>
      </w:tr>
      <w:tr w14:paraId="10C26623">
        <w:tc>
          <w:tcPr>
            <w:tcW w:w="976" w:type="pct"/>
            <w:tcBorders>
              <w:top w:val="single" w:color="000000" w:sz="8" w:space="0"/>
              <w:left w:val="single" w:color="000000" w:sz="8" w:space="0"/>
              <w:bottom w:val="single" w:color="000000" w:sz="8" w:space="0"/>
              <w:right w:val="single" w:color="000000" w:sz="8" w:space="0"/>
            </w:tcBorders>
            <w:vAlign w:val="center"/>
          </w:tcPr>
          <w:p w14:paraId="12E38C52">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NE</w:t>
            </w:r>
          </w:p>
        </w:tc>
        <w:tc>
          <w:tcPr>
            <w:tcW w:w="4023" w:type="pct"/>
            <w:tcBorders>
              <w:top w:val="single" w:color="000000" w:sz="8" w:space="0"/>
              <w:left w:val="single" w:color="000000" w:sz="8" w:space="0"/>
              <w:bottom w:val="single" w:color="000000" w:sz="8" w:space="0"/>
              <w:right w:val="single" w:color="000000" w:sz="8" w:space="0"/>
            </w:tcBorders>
            <w:vAlign w:val="center"/>
          </w:tcPr>
          <w:p w14:paraId="4B5DA2F8">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Not Reached</w:t>
            </w:r>
          </w:p>
        </w:tc>
      </w:tr>
      <w:tr w14:paraId="56358952">
        <w:tc>
          <w:tcPr>
            <w:tcW w:w="976" w:type="pct"/>
            <w:tcBorders>
              <w:top w:val="single" w:color="000000" w:sz="8" w:space="0"/>
              <w:left w:val="single" w:color="000000" w:sz="8" w:space="0"/>
              <w:bottom w:val="single" w:color="000000" w:sz="8" w:space="0"/>
              <w:right w:val="single" w:color="000000" w:sz="8" w:space="0"/>
            </w:tcBorders>
            <w:vAlign w:val="center"/>
          </w:tcPr>
          <w:p w14:paraId="468B5DB1">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NMPA</w:t>
            </w:r>
          </w:p>
        </w:tc>
        <w:tc>
          <w:tcPr>
            <w:tcW w:w="4023" w:type="pct"/>
            <w:tcBorders>
              <w:top w:val="single" w:color="000000" w:sz="8" w:space="0"/>
              <w:left w:val="single" w:color="000000" w:sz="8" w:space="0"/>
              <w:bottom w:val="single" w:color="000000" w:sz="8" w:space="0"/>
              <w:right w:val="single" w:color="000000" w:sz="8" w:space="0"/>
            </w:tcBorders>
            <w:vAlign w:val="center"/>
          </w:tcPr>
          <w:p w14:paraId="5E1B38A2">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National Medical Products Administration</w:t>
            </w:r>
          </w:p>
        </w:tc>
      </w:tr>
      <w:tr w14:paraId="27B52ECF">
        <w:tc>
          <w:tcPr>
            <w:tcW w:w="976" w:type="pct"/>
            <w:tcBorders>
              <w:top w:val="single" w:color="000000" w:sz="8" w:space="0"/>
              <w:left w:val="single" w:color="000000" w:sz="8" w:space="0"/>
              <w:bottom w:val="single" w:color="000000" w:sz="8" w:space="0"/>
              <w:right w:val="single" w:color="000000" w:sz="8" w:space="0"/>
            </w:tcBorders>
            <w:vAlign w:val="center"/>
          </w:tcPr>
          <w:p w14:paraId="12B53FE7">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NYHA</w:t>
            </w:r>
          </w:p>
        </w:tc>
        <w:tc>
          <w:tcPr>
            <w:tcW w:w="4023" w:type="pct"/>
            <w:tcBorders>
              <w:top w:val="single" w:color="000000" w:sz="8" w:space="0"/>
              <w:left w:val="single" w:color="000000" w:sz="8" w:space="0"/>
              <w:bottom w:val="single" w:color="000000" w:sz="8" w:space="0"/>
              <w:right w:val="single" w:color="000000" w:sz="8" w:space="0"/>
            </w:tcBorders>
            <w:vAlign w:val="center"/>
          </w:tcPr>
          <w:p w14:paraId="690E849B">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New York Heart Association</w:t>
            </w:r>
          </w:p>
        </w:tc>
      </w:tr>
      <w:tr w14:paraId="5666475A">
        <w:tc>
          <w:tcPr>
            <w:tcW w:w="976" w:type="pct"/>
            <w:tcBorders>
              <w:top w:val="single" w:color="000000" w:sz="8" w:space="0"/>
              <w:left w:val="single" w:color="000000" w:sz="8" w:space="0"/>
              <w:bottom w:val="single" w:color="000000" w:sz="8" w:space="0"/>
              <w:right w:val="single" w:color="000000" w:sz="8" w:space="0"/>
            </w:tcBorders>
            <w:vAlign w:val="center"/>
          </w:tcPr>
          <w:p w14:paraId="72F88290">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ORR</w:t>
            </w:r>
          </w:p>
        </w:tc>
        <w:tc>
          <w:tcPr>
            <w:tcW w:w="4023" w:type="pct"/>
            <w:tcBorders>
              <w:top w:val="single" w:color="000000" w:sz="8" w:space="0"/>
              <w:left w:val="single" w:color="000000" w:sz="8" w:space="0"/>
              <w:bottom w:val="single" w:color="000000" w:sz="8" w:space="0"/>
              <w:right w:val="single" w:color="000000" w:sz="8" w:space="0"/>
            </w:tcBorders>
            <w:vAlign w:val="center"/>
          </w:tcPr>
          <w:p w14:paraId="50DDFE01">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Objective Response Rate</w:t>
            </w:r>
          </w:p>
        </w:tc>
      </w:tr>
      <w:tr w14:paraId="0DB635DF">
        <w:tc>
          <w:tcPr>
            <w:tcW w:w="976" w:type="pct"/>
            <w:tcBorders>
              <w:top w:val="single" w:color="000000" w:sz="8" w:space="0"/>
              <w:left w:val="single" w:color="000000" w:sz="8" w:space="0"/>
              <w:bottom w:val="single" w:color="000000" w:sz="8" w:space="0"/>
              <w:right w:val="single" w:color="000000" w:sz="8" w:space="0"/>
            </w:tcBorders>
            <w:vAlign w:val="center"/>
          </w:tcPr>
          <w:p w14:paraId="2F5A6C69">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PBSD</w:t>
            </w:r>
          </w:p>
        </w:tc>
        <w:tc>
          <w:tcPr>
            <w:tcW w:w="4023" w:type="pct"/>
            <w:tcBorders>
              <w:top w:val="single" w:color="000000" w:sz="8" w:space="0"/>
              <w:left w:val="single" w:color="000000" w:sz="8" w:space="0"/>
              <w:bottom w:val="single" w:color="000000" w:sz="8" w:space="0"/>
              <w:right w:val="single" w:color="000000" w:sz="8" w:space="0"/>
            </w:tcBorders>
            <w:vAlign w:val="center"/>
          </w:tcPr>
          <w:p w14:paraId="4C7CE0C7">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Post-Baseline Sum of Dimensions</w:t>
            </w:r>
          </w:p>
        </w:tc>
      </w:tr>
      <w:tr w14:paraId="51901E01">
        <w:tc>
          <w:tcPr>
            <w:tcW w:w="976" w:type="pct"/>
            <w:tcBorders>
              <w:top w:val="single" w:color="000000" w:sz="8" w:space="0"/>
              <w:left w:val="single" w:color="000000" w:sz="8" w:space="0"/>
              <w:bottom w:val="single" w:color="000000" w:sz="8" w:space="0"/>
              <w:right w:val="single" w:color="000000" w:sz="8" w:space="0"/>
            </w:tcBorders>
            <w:vAlign w:val="center"/>
          </w:tcPr>
          <w:p w14:paraId="7909E5B7">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PD</w:t>
            </w:r>
          </w:p>
        </w:tc>
        <w:tc>
          <w:tcPr>
            <w:tcW w:w="4023" w:type="pct"/>
            <w:tcBorders>
              <w:top w:val="single" w:color="000000" w:sz="8" w:space="0"/>
              <w:left w:val="single" w:color="000000" w:sz="8" w:space="0"/>
              <w:bottom w:val="single" w:color="000000" w:sz="8" w:space="0"/>
              <w:right w:val="single" w:color="000000" w:sz="8" w:space="0"/>
            </w:tcBorders>
            <w:vAlign w:val="center"/>
          </w:tcPr>
          <w:p w14:paraId="7D25E228">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Progressive Disease</w:t>
            </w:r>
          </w:p>
        </w:tc>
      </w:tr>
      <w:tr w14:paraId="1F359016">
        <w:tc>
          <w:tcPr>
            <w:tcW w:w="976" w:type="pct"/>
            <w:tcBorders>
              <w:top w:val="single" w:color="000000" w:sz="8" w:space="0"/>
              <w:left w:val="single" w:color="000000" w:sz="8" w:space="0"/>
              <w:bottom w:val="single" w:color="000000" w:sz="8" w:space="0"/>
              <w:right w:val="single" w:color="000000" w:sz="8" w:space="0"/>
            </w:tcBorders>
            <w:vAlign w:val="center"/>
          </w:tcPr>
          <w:p w14:paraId="6213794D">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PD-1</w:t>
            </w:r>
          </w:p>
        </w:tc>
        <w:tc>
          <w:tcPr>
            <w:tcW w:w="4023" w:type="pct"/>
            <w:tcBorders>
              <w:top w:val="single" w:color="000000" w:sz="8" w:space="0"/>
              <w:left w:val="single" w:color="000000" w:sz="8" w:space="0"/>
              <w:bottom w:val="single" w:color="000000" w:sz="8" w:space="0"/>
              <w:right w:val="single" w:color="000000" w:sz="8" w:space="0"/>
            </w:tcBorders>
            <w:vAlign w:val="center"/>
          </w:tcPr>
          <w:p w14:paraId="49FF7D00">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Programmed Cell Death Protein-1</w:t>
            </w:r>
          </w:p>
        </w:tc>
      </w:tr>
      <w:tr w14:paraId="245CDFDC">
        <w:tc>
          <w:tcPr>
            <w:tcW w:w="976" w:type="pct"/>
            <w:tcBorders>
              <w:top w:val="single" w:color="000000" w:sz="8" w:space="0"/>
              <w:left w:val="single" w:color="000000" w:sz="8" w:space="0"/>
              <w:bottom w:val="single" w:color="000000" w:sz="8" w:space="0"/>
              <w:right w:val="single" w:color="000000" w:sz="8" w:space="0"/>
            </w:tcBorders>
            <w:vAlign w:val="center"/>
          </w:tcPr>
          <w:p w14:paraId="4986F863">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PD-L1</w:t>
            </w:r>
          </w:p>
        </w:tc>
        <w:tc>
          <w:tcPr>
            <w:tcW w:w="4023" w:type="pct"/>
            <w:tcBorders>
              <w:top w:val="single" w:color="000000" w:sz="8" w:space="0"/>
              <w:left w:val="single" w:color="000000" w:sz="8" w:space="0"/>
              <w:bottom w:val="single" w:color="000000" w:sz="8" w:space="0"/>
              <w:right w:val="single" w:color="000000" w:sz="8" w:space="0"/>
            </w:tcBorders>
            <w:vAlign w:val="center"/>
          </w:tcPr>
          <w:p w14:paraId="40F36F0D">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Programmed Cell Death-Ligand 1</w:t>
            </w:r>
          </w:p>
        </w:tc>
      </w:tr>
      <w:tr w14:paraId="5497E4CA">
        <w:tc>
          <w:tcPr>
            <w:tcW w:w="976" w:type="pct"/>
            <w:tcBorders>
              <w:top w:val="single" w:color="000000" w:sz="8" w:space="0"/>
              <w:left w:val="single" w:color="000000" w:sz="8" w:space="0"/>
              <w:bottom w:val="single" w:color="000000" w:sz="8" w:space="0"/>
              <w:right w:val="single" w:color="000000" w:sz="8" w:space="0"/>
            </w:tcBorders>
            <w:vAlign w:val="center"/>
          </w:tcPr>
          <w:p w14:paraId="45BF7423">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PET</w:t>
            </w:r>
          </w:p>
        </w:tc>
        <w:tc>
          <w:tcPr>
            <w:tcW w:w="4023" w:type="pct"/>
            <w:tcBorders>
              <w:top w:val="single" w:color="000000" w:sz="8" w:space="0"/>
              <w:left w:val="single" w:color="000000" w:sz="8" w:space="0"/>
              <w:bottom w:val="single" w:color="000000" w:sz="8" w:space="0"/>
              <w:right w:val="single" w:color="000000" w:sz="8" w:space="0"/>
            </w:tcBorders>
            <w:vAlign w:val="center"/>
          </w:tcPr>
          <w:p w14:paraId="1AAD46ED">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Positron Emission Tomography</w:t>
            </w:r>
          </w:p>
        </w:tc>
      </w:tr>
      <w:tr w14:paraId="208358DA">
        <w:tc>
          <w:tcPr>
            <w:tcW w:w="976" w:type="pct"/>
            <w:tcBorders>
              <w:top w:val="single" w:color="000000" w:sz="8" w:space="0"/>
              <w:left w:val="single" w:color="000000" w:sz="8" w:space="0"/>
              <w:bottom w:val="single" w:color="000000" w:sz="8" w:space="0"/>
              <w:right w:val="single" w:color="000000" w:sz="8" w:space="0"/>
            </w:tcBorders>
            <w:vAlign w:val="center"/>
          </w:tcPr>
          <w:p w14:paraId="2E52D5F3">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PET/CT</w:t>
            </w:r>
          </w:p>
        </w:tc>
        <w:tc>
          <w:tcPr>
            <w:tcW w:w="4023" w:type="pct"/>
            <w:tcBorders>
              <w:top w:val="single" w:color="000000" w:sz="8" w:space="0"/>
              <w:left w:val="single" w:color="000000" w:sz="8" w:space="0"/>
              <w:bottom w:val="single" w:color="000000" w:sz="8" w:space="0"/>
              <w:right w:val="single" w:color="000000" w:sz="8" w:space="0"/>
            </w:tcBorders>
            <w:vAlign w:val="center"/>
          </w:tcPr>
          <w:p w14:paraId="1642CCB8">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Positron Emission Tomography/Computed Tomography</w:t>
            </w:r>
          </w:p>
        </w:tc>
      </w:tr>
      <w:tr w14:paraId="313A0795">
        <w:tc>
          <w:tcPr>
            <w:tcW w:w="976" w:type="pct"/>
            <w:tcBorders>
              <w:top w:val="single" w:color="000000" w:sz="8" w:space="0"/>
              <w:left w:val="single" w:color="000000" w:sz="8" w:space="0"/>
              <w:bottom w:val="single" w:color="000000" w:sz="8" w:space="0"/>
              <w:right w:val="single" w:color="000000" w:sz="8" w:space="0"/>
            </w:tcBorders>
            <w:vAlign w:val="center"/>
          </w:tcPr>
          <w:p w14:paraId="4BD9303F">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PCR</w:t>
            </w:r>
          </w:p>
        </w:tc>
        <w:tc>
          <w:tcPr>
            <w:tcW w:w="4023" w:type="pct"/>
            <w:tcBorders>
              <w:top w:val="single" w:color="000000" w:sz="8" w:space="0"/>
              <w:left w:val="single" w:color="000000" w:sz="8" w:space="0"/>
              <w:bottom w:val="single" w:color="000000" w:sz="8" w:space="0"/>
              <w:right w:val="single" w:color="000000" w:sz="8" w:space="0"/>
            </w:tcBorders>
            <w:vAlign w:val="center"/>
          </w:tcPr>
          <w:p w14:paraId="56F81D4C">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Polymerase Chain Reaction</w:t>
            </w:r>
          </w:p>
        </w:tc>
      </w:tr>
      <w:tr w14:paraId="023C4558">
        <w:tc>
          <w:tcPr>
            <w:tcW w:w="976" w:type="pct"/>
            <w:tcBorders>
              <w:top w:val="single" w:color="000000" w:sz="8" w:space="0"/>
              <w:left w:val="single" w:color="000000" w:sz="8" w:space="0"/>
              <w:bottom w:val="single" w:color="000000" w:sz="8" w:space="0"/>
              <w:right w:val="single" w:color="000000" w:sz="8" w:space="0"/>
            </w:tcBorders>
            <w:vAlign w:val="center"/>
          </w:tcPr>
          <w:p w14:paraId="5BDA3E6F">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PFS</w:t>
            </w:r>
          </w:p>
        </w:tc>
        <w:tc>
          <w:tcPr>
            <w:tcW w:w="4023" w:type="pct"/>
            <w:tcBorders>
              <w:top w:val="single" w:color="000000" w:sz="8" w:space="0"/>
              <w:left w:val="single" w:color="000000" w:sz="8" w:space="0"/>
              <w:bottom w:val="single" w:color="000000" w:sz="8" w:space="0"/>
              <w:right w:val="single" w:color="000000" w:sz="8" w:space="0"/>
            </w:tcBorders>
            <w:vAlign w:val="center"/>
          </w:tcPr>
          <w:p w14:paraId="783468D3">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Progression-Free Survival</w:t>
            </w:r>
          </w:p>
        </w:tc>
      </w:tr>
      <w:tr w14:paraId="3BB9FAF5">
        <w:tc>
          <w:tcPr>
            <w:tcW w:w="976" w:type="pct"/>
            <w:tcBorders>
              <w:top w:val="single" w:color="000000" w:sz="8" w:space="0"/>
              <w:left w:val="single" w:color="000000" w:sz="8" w:space="0"/>
              <w:bottom w:val="single" w:color="000000" w:sz="8" w:space="0"/>
              <w:right w:val="single" w:color="000000" w:sz="8" w:space="0"/>
            </w:tcBorders>
            <w:vAlign w:val="center"/>
          </w:tcPr>
          <w:p w14:paraId="69155FB8">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PK/PD</w:t>
            </w:r>
          </w:p>
        </w:tc>
        <w:tc>
          <w:tcPr>
            <w:tcW w:w="4023" w:type="pct"/>
            <w:tcBorders>
              <w:top w:val="single" w:color="000000" w:sz="8" w:space="0"/>
              <w:left w:val="single" w:color="000000" w:sz="8" w:space="0"/>
              <w:bottom w:val="single" w:color="000000" w:sz="8" w:space="0"/>
              <w:right w:val="single" w:color="000000" w:sz="8" w:space="0"/>
            </w:tcBorders>
            <w:vAlign w:val="center"/>
          </w:tcPr>
          <w:p w14:paraId="371062DC">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Pharmacokinetics/Pharmacodynamics</w:t>
            </w:r>
          </w:p>
        </w:tc>
      </w:tr>
      <w:tr w14:paraId="2E0C6D9C">
        <w:tc>
          <w:tcPr>
            <w:tcW w:w="976" w:type="pct"/>
            <w:tcBorders>
              <w:top w:val="single" w:color="000000" w:sz="8" w:space="0"/>
              <w:left w:val="single" w:color="000000" w:sz="8" w:space="0"/>
              <w:bottom w:val="single" w:color="000000" w:sz="8" w:space="0"/>
              <w:right w:val="single" w:color="000000" w:sz="8" w:space="0"/>
            </w:tcBorders>
            <w:vAlign w:val="center"/>
          </w:tcPr>
          <w:p w14:paraId="7F4E3831">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PR</w:t>
            </w:r>
          </w:p>
        </w:tc>
        <w:tc>
          <w:tcPr>
            <w:tcW w:w="4023" w:type="pct"/>
            <w:tcBorders>
              <w:top w:val="single" w:color="000000" w:sz="8" w:space="0"/>
              <w:left w:val="single" w:color="000000" w:sz="8" w:space="0"/>
              <w:bottom w:val="single" w:color="000000" w:sz="8" w:space="0"/>
              <w:right w:val="single" w:color="000000" w:sz="8" w:space="0"/>
            </w:tcBorders>
            <w:vAlign w:val="center"/>
          </w:tcPr>
          <w:p w14:paraId="16F0E5CC">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Partial Response</w:t>
            </w:r>
          </w:p>
        </w:tc>
      </w:tr>
      <w:tr w14:paraId="3C4E1E82">
        <w:tc>
          <w:tcPr>
            <w:tcW w:w="976" w:type="pct"/>
            <w:tcBorders>
              <w:top w:val="single" w:color="000000" w:sz="8" w:space="0"/>
              <w:left w:val="single" w:color="000000" w:sz="8" w:space="0"/>
              <w:bottom w:val="single" w:color="000000" w:sz="8" w:space="0"/>
              <w:right w:val="single" w:color="000000" w:sz="8" w:space="0"/>
            </w:tcBorders>
            <w:vAlign w:val="center"/>
          </w:tcPr>
          <w:p w14:paraId="55C1F578">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PRO</w:t>
            </w:r>
          </w:p>
        </w:tc>
        <w:tc>
          <w:tcPr>
            <w:tcW w:w="4023" w:type="pct"/>
            <w:tcBorders>
              <w:top w:val="single" w:color="000000" w:sz="8" w:space="0"/>
              <w:left w:val="single" w:color="000000" w:sz="8" w:space="0"/>
              <w:bottom w:val="single" w:color="000000" w:sz="8" w:space="0"/>
              <w:right w:val="single" w:color="000000" w:sz="8" w:space="0"/>
            </w:tcBorders>
            <w:vAlign w:val="center"/>
          </w:tcPr>
          <w:p w14:paraId="3CD76CFD">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Patient-Reported Outcome</w:t>
            </w:r>
          </w:p>
        </w:tc>
      </w:tr>
      <w:tr w14:paraId="24B5F5B7">
        <w:tc>
          <w:tcPr>
            <w:tcW w:w="976" w:type="pct"/>
            <w:tcBorders>
              <w:top w:val="single" w:color="000000" w:sz="8" w:space="0"/>
              <w:left w:val="single" w:color="000000" w:sz="8" w:space="0"/>
              <w:bottom w:val="single" w:color="000000" w:sz="8" w:space="0"/>
              <w:right w:val="single" w:color="000000" w:sz="8" w:space="0"/>
            </w:tcBorders>
            <w:vAlign w:val="center"/>
          </w:tcPr>
          <w:p w14:paraId="1A8E6781">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PS</w:t>
            </w:r>
          </w:p>
        </w:tc>
        <w:tc>
          <w:tcPr>
            <w:tcW w:w="4023" w:type="pct"/>
            <w:tcBorders>
              <w:top w:val="single" w:color="000000" w:sz="8" w:space="0"/>
              <w:left w:val="single" w:color="000000" w:sz="8" w:space="0"/>
              <w:bottom w:val="single" w:color="000000" w:sz="8" w:space="0"/>
              <w:right w:val="single" w:color="000000" w:sz="8" w:space="0"/>
            </w:tcBorders>
            <w:vAlign w:val="center"/>
          </w:tcPr>
          <w:p w14:paraId="5F112198">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Performance Status</w:t>
            </w:r>
          </w:p>
        </w:tc>
      </w:tr>
      <w:tr w14:paraId="4AC49A0D">
        <w:tc>
          <w:tcPr>
            <w:tcW w:w="976" w:type="pct"/>
            <w:tcBorders>
              <w:top w:val="single" w:color="000000" w:sz="8" w:space="0"/>
              <w:left w:val="single" w:color="000000" w:sz="8" w:space="0"/>
              <w:bottom w:val="single" w:color="000000" w:sz="8" w:space="0"/>
              <w:right w:val="single" w:color="000000" w:sz="8" w:space="0"/>
            </w:tcBorders>
            <w:vAlign w:val="center"/>
          </w:tcPr>
          <w:p w14:paraId="1A9EF0AD">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PT</w:t>
            </w:r>
          </w:p>
        </w:tc>
        <w:tc>
          <w:tcPr>
            <w:tcW w:w="4023" w:type="pct"/>
            <w:tcBorders>
              <w:top w:val="single" w:color="000000" w:sz="8" w:space="0"/>
              <w:left w:val="single" w:color="000000" w:sz="8" w:space="0"/>
              <w:bottom w:val="single" w:color="000000" w:sz="8" w:space="0"/>
              <w:right w:val="single" w:color="000000" w:sz="8" w:space="0"/>
            </w:tcBorders>
            <w:vAlign w:val="center"/>
          </w:tcPr>
          <w:p w14:paraId="1E967F6C">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Prothrombin Time</w:t>
            </w:r>
          </w:p>
        </w:tc>
      </w:tr>
      <w:tr w14:paraId="163724DD">
        <w:tc>
          <w:tcPr>
            <w:tcW w:w="976" w:type="pct"/>
            <w:tcBorders>
              <w:top w:val="single" w:color="000000" w:sz="8" w:space="0"/>
              <w:left w:val="single" w:color="000000" w:sz="8" w:space="0"/>
              <w:bottom w:val="single" w:color="000000" w:sz="8" w:space="0"/>
              <w:right w:val="single" w:color="000000" w:sz="8" w:space="0"/>
            </w:tcBorders>
            <w:vAlign w:val="center"/>
          </w:tcPr>
          <w:p w14:paraId="39032350">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PPI</w:t>
            </w:r>
          </w:p>
        </w:tc>
        <w:tc>
          <w:tcPr>
            <w:tcW w:w="4023" w:type="pct"/>
            <w:tcBorders>
              <w:top w:val="single" w:color="000000" w:sz="8" w:space="0"/>
              <w:left w:val="single" w:color="000000" w:sz="8" w:space="0"/>
              <w:bottom w:val="single" w:color="000000" w:sz="8" w:space="0"/>
              <w:right w:val="single" w:color="000000" w:sz="8" w:space="0"/>
            </w:tcBorders>
            <w:vAlign w:val="center"/>
          </w:tcPr>
          <w:p w14:paraId="4F73C83E">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Proton Pump Inhibitor</w:t>
            </w:r>
          </w:p>
        </w:tc>
      </w:tr>
      <w:tr w14:paraId="0D03CC88">
        <w:tc>
          <w:tcPr>
            <w:tcW w:w="976" w:type="pct"/>
            <w:tcBorders>
              <w:top w:val="single" w:color="000000" w:sz="8" w:space="0"/>
              <w:left w:val="single" w:color="000000" w:sz="8" w:space="0"/>
              <w:bottom w:val="single" w:color="000000" w:sz="8" w:space="0"/>
              <w:right w:val="single" w:color="000000" w:sz="8" w:space="0"/>
            </w:tcBorders>
            <w:vAlign w:val="center"/>
          </w:tcPr>
          <w:p w14:paraId="41B37E1A">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PTV</w:t>
            </w:r>
          </w:p>
        </w:tc>
        <w:tc>
          <w:tcPr>
            <w:tcW w:w="4023" w:type="pct"/>
            <w:tcBorders>
              <w:top w:val="single" w:color="000000" w:sz="8" w:space="0"/>
              <w:left w:val="single" w:color="000000" w:sz="8" w:space="0"/>
              <w:bottom w:val="single" w:color="000000" w:sz="8" w:space="0"/>
              <w:right w:val="single" w:color="000000" w:sz="8" w:space="0"/>
            </w:tcBorders>
            <w:vAlign w:val="center"/>
          </w:tcPr>
          <w:p w14:paraId="1572A583">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Planning Target Volume</w:t>
            </w:r>
          </w:p>
        </w:tc>
      </w:tr>
      <w:tr w14:paraId="51624F5C">
        <w:tc>
          <w:tcPr>
            <w:tcW w:w="976" w:type="pct"/>
            <w:tcBorders>
              <w:top w:val="single" w:color="000000" w:sz="8" w:space="0"/>
              <w:left w:val="single" w:color="000000" w:sz="8" w:space="0"/>
              <w:bottom w:val="single" w:color="000000" w:sz="8" w:space="0"/>
              <w:right w:val="single" w:color="000000" w:sz="8" w:space="0"/>
            </w:tcBorders>
            <w:vAlign w:val="center"/>
          </w:tcPr>
          <w:p w14:paraId="1CBA701E">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QTc</w:t>
            </w:r>
          </w:p>
        </w:tc>
        <w:tc>
          <w:tcPr>
            <w:tcW w:w="4023" w:type="pct"/>
            <w:tcBorders>
              <w:top w:val="single" w:color="000000" w:sz="8" w:space="0"/>
              <w:left w:val="single" w:color="000000" w:sz="8" w:space="0"/>
              <w:bottom w:val="single" w:color="000000" w:sz="8" w:space="0"/>
              <w:right w:val="single" w:color="000000" w:sz="8" w:space="0"/>
            </w:tcBorders>
            <w:vAlign w:val="center"/>
          </w:tcPr>
          <w:p w14:paraId="4D31A2F0">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Corrected QT Interval</w:t>
            </w:r>
          </w:p>
        </w:tc>
      </w:tr>
      <w:tr w14:paraId="6D1D49FA">
        <w:tc>
          <w:tcPr>
            <w:tcW w:w="976" w:type="pct"/>
            <w:tcBorders>
              <w:top w:val="single" w:color="000000" w:sz="8" w:space="0"/>
              <w:left w:val="single" w:color="000000" w:sz="8" w:space="0"/>
              <w:bottom w:val="single" w:color="000000" w:sz="8" w:space="0"/>
              <w:right w:val="single" w:color="000000" w:sz="8" w:space="0"/>
            </w:tcBorders>
            <w:vAlign w:val="center"/>
          </w:tcPr>
          <w:p w14:paraId="213624F8">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RECIST</w:t>
            </w:r>
          </w:p>
        </w:tc>
        <w:tc>
          <w:tcPr>
            <w:tcW w:w="4023" w:type="pct"/>
            <w:tcBorders>
              <w:top w:val="single" w:color="000000" w:sz="8" w:space="0"/>
              <w:left w:val="single" w:color="000000" w:sz="8" w:space="0"/>
              <w:bottom w:val="single" w:color="000000" w:sz="8" w:space="0"/>
              <w:right w:val="single" w:color="000000" w:sz="8" w:space="0"/>
            </w:tcBorders>
            <w:vAlign w:val="center"/>
          </w:tcPr>
          <w:p w14:paraId="52EA7777">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Response Evaluation Criteria in Solid Tumors</w:t>
            </w:r>
          </w:p>
        </w:tc>
      </w:tr>
      <w:tr w14:paraId="11C89BAD">
        <w:tc>
          <w:tcPr>
            <w:tcW w:w="976" w:type="pct"/>
            <w:tcBorders>
              <w:top w:val="single" w:color="000000" w:sz="8" w:space="0"/>
              <w:left w:val="single" w:color="000000" w:sz="8" w:space="0"/>
              <w:bottom w:val="single" w:color="000000" w:sz="8" w:space="0"/>
              <w:right w:val="single" w:color="000000" w:sz="8" w:space="0"/>
            </w:tcBorders>
            <w:vAlign w:val="center"/>
          </w:tcPr>
          <w:p w14:paraId="685BE96D">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RNA</w:t>
            </w:r>
          </w:p>
        </w:tc>
        <w:tc>
          <w:tcPr>
            <w:tcW w:w="4023" w:type="pct"/>
            <w:tcBorders>
              <w:top w:val="single" w:color="000000" w:sz="8" w:space="0"/>
              <w:left w:val="single" w:color="000000" w:sz="8" w:space="0"/>
              <w:bottom w:val="single" w:color="000000" w:sz="8" w:space="0"/>
              <w:right w:val="single" w:color="000000" w:sz="8" w:space="0"/>
            </w:tcBorders>
            <w:vAlign w:val="center"/>
          </w:tcPr>
          <w:p w14:paraId="52FD9EDB">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Ribonucleic Acid</w:t>
            </w:r>
          </w:p>
        </w:tc>
      </w:tr>
      <w:tr w14:paraId="1881621E">
        <w:tc>
          <w:tcPr>
            <w:tcW w:w="976" w:type="pct"/>
            <w:tcBorders>
              <w:top w:val="single" w:color="000000" w:sz="8" w:space="0"/>
              <w:left w:val="single" w:color="000000" w:sz="8" w:space="0"/>
              <w:bottom w:val="single" w:color="000000" w:sz="8" w:space="0"/>
              <w:right w:val="single" w:color="000000" w:sz="8" w:space="0"/>
            </w:tcBorders>
            <w:vAlign w:val="center"/>
          </w:tcPr>
          <w:p w14:paraId="5BA01984">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RNA-Seq</w:t>
            </w:r>
          </w:p>
        </w:tc>
        <w:tc>
          <w:tcPr>
            <w:tcW w:w="4023" w:type="pct"/>
            <w:tcBorders>
              <w:top w:val="single" w:color="000000" w:sz="8" w:space="0"/>
              <w:left w:val="single" w:color="000000" w:sz="8" w:space="0"/>
              <w:bottom w:val="single" w:color="000000" w:sz="8" w:space="0"/>
              <w:right w:val="single" w:color="000000" w:sz="8" w:space="0"/>
            </w:tcBorders>
            <w:vAlign w:val="center"/>
          </w:tcPr>
          <w:p w14:paraId="6F9533EB">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RNA Sequencing</w:t>
            </w:r>
          </w:p>
        </w:tc>
      </w:tr>
      <w:tr w14:paraId="4F9BC666">
        <w:tc>
          <w:tcPr>
            <w:tcW w:w="976" w:type="pct"/>
            <w:tcBorders>
              <w:top w:val="single" w:color="000000" w:sz="8" w:space="0"/>
              <w:left w:val="single" w:color="000000" w:sz="8" w:space="0"/>
              <w:bottom w:val="single" w:color="000000" w:sz="8" w:space="0"/>
              <w:right w:val="single" w:color="000000" w:sz="8" w:space="0"/>
            </w:tcBorders>
            <w:vAlign w:val="center"/>
          </w:tcPr>
          <w:p w14:paraId="78DF011E">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ROS1</w:t>
            </w:r>
          </w:p>
        </w:tc>
        <w:tc>
          <w:tcPr>
            <w:tcW w:w="4023" w:type="pct"/>
            <w:tcBorders>
              <w:top w:val="single" w:color="000000" w:sz="8" w:space="0"/>
              <w:left w:val="single" w:color="000000" w:sz="8" w:space="0"/>
              <w:bottom w:val="single" w:color="000000" w:sz="8" w:space="0"/>
              <w:right w:val="single" w:color="000000" w:sz="8" w:space="0"/>
            </w:tcBorders>
            <w:vAlign w:val="center"/>
          </w:tcPr>
          <w:p w14:paraId="1C9E1B20">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ROS Proto-Oncogene 1</w:t>
            </w:r>
          </w:p>
        </w:tc>
      </w:tr>
      <w:tr w14:paraId="66A3F946">
        <w:tc>
          <w:tcPr>
            <w:tcW w:w="976" w:type="pct"/>
            <w:tcBorders>
              <w:top w:val="single" w:color="000000" w:sz="8" w:space="0"/>
              <w:left w:val="single" w:color="000000" w:sz="8" w:space="0"/>
              <w:bottom w:val="single" w:color="000000" w:sz="8" w:space="0"/>
              <w:right w:val="single" w:color="000000" w:sz="8" w:space="0"/>
            </w:tcBorders>
            <w:vAlign w:val="center"/>
          </w:tcPr>
          <w:p w14:paraId="54AE2E2A">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RT</w:t>
            </w:r>
          </w:p>
        </w:tc>
        <w:tc>
          <w:tcPr>
            <w:tcW w:w="4023" w:type="pct"/>
            <w:tcBorders>
              <w:top w:val="single" w:color="000000" w:sz="8" w:space="0"/>
              <w:left w:val="single" w:color="000000" w:sz="8" w:space="0"/>
              <w:bottom w:val="single" w:color="000000" w:sz="8" w:space="0"/>
              <w:right w:val="single" w:color="000000" w:sz="8" w:space="0"/>
            </w:tcBorders>
            <w:vAlign w:val="center"/>
          </w:tcPr>
          <w:p w14:paraId="4BEEAAE0">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Radiotherapy</w:t>
            </w:r>
          </w:p>
        </w:tc>
      </w:tr>
      <w:tr w14:paraId="48CA4AB3">
        <w:tc>
          <w:tcPr>
            <w:tcW w:w="976" w:type="pct"/>
            <w:tcBorders>
              <w:top w:val="single" w:color="000000" w:sz="8" w:space="0"/>
              <w:left w:val="single" w:color="000000" w:sz="8" w:space="0"/>
              <w:bottom w:val="single" w:color="000000" w:sz="8" w:space="0"/>
              <w:right w:val="single" w:color="000000" w:sz="8" w:space="0"/>
            </w:tcBorders>
            <w:vAlign w:val="center"/>
          </w:tcPr>
          <w:p w14:paraId="4D5D1C26">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RT-PCR</w:t>
            </w:r>
          </w:p>
        </w:tc>
        <w:tc>
          <w:tcPr>
            <w:tcW w:w="4023" w:type="pct"/>
            <w:tcBorders>
              <w:top w:val="single" w:color="000000" w:sz="8" w:space="0"/>
              <w:left w:val="single" w:color="000000" w:sz="8" w:space="0"/>
              <w:bottom w:val="single" w:color="000000" w:sz="8" w:space="0"/>
              <w:right w:val="single" w:color="000000" w:sz="8" w:space="0"/>
            </w:tcBorders>
            <w:vAlign w:val="center"/>
          </w:tcPr>
          <w:p w14:paraId="406A3227">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Reverse Transcription-Polymerase Chain Reaction</w:t>
            </w:r>
          </w:p>
        </w:tc>
      </w:tr>
      <w:tr w14:paraId="34E70D67">
        <w:tc>
          <w:tcPr>
            <w:tcW w:w="976" w:type="pct"/>
            <w:tcBorders>
              <w:top w:val="single" w:color="000000" w:sz="8" w:space="0"/>
              <w:left w:val="single" w:color="000000" w:sz="8" w:space="0"/>
              <w:bottom w:val="single" w:color="000000" w:sz="8" w:space="0"/>
              <w:right w:val="single" w:color="000000" w:sz="8" w:space="0"/>
            </w:tcBorders>
            <w:vAlign w:val="center"/>
          </w:tcPr>
          <w:p w14:paraId="699B4906">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RTOG</w:t>
            </w:r>
          </w:p>
        </w:tc>
        <w:tc>
          <w:tcPr>
            <w:tcW w:w="4023" w:type="pct"/>
            <w:tcBorders>
              <w:top w:val="single" w:color="000000" w:sz="8" w:space="0"/>
              <w:left w:val="single" w:color="000000" w:sz="8" w:space="0"/>
              <w:bottom w:val="single" w:color="000000" w:sz="8" w:space="0"/>
              <w:right w:val="single" w:color="000000" w:sz="8" w:space="0"/>
            </w:tcBorders>
            <w:vAlign w:val="center"/>
          </w:tcPr>
          <w:p w14:paraId="60E55B57">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Radiation Therapy Oncology Group</w:t>
            </w:r>
          </w:p>
        </w:tc>
      </w:tr>
      <w:tr w14:paraId="48A531F5">
        <w:tc>
          <w:tcPr>
            <w:tcW w:w="976" w:type="pct"/>
            <w:tcBorders>
              <w:top w:val="single" w:color="000000" w:sz="8" w:space="0"/>
              <w:left w:val="single" w:color="000000" w:sz="8" w:space="0"/>
              <w:bottom w:val="single" w:color="000000" w:sz="8" w:space="0"/>
              <w:right w:val="single" w:color="000000" w:sz="8" w:space="0"/>
            </w:tcBorders>
            <w:vAlign w:val="center"/>
          </w:tcPr>
          <w:p w14:paraId="2082F637">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SAE</w:t>
            </w:r>
          </w:p>
        </w:tc>
        <w:tc>
          <w:tcPr>
            <w:tcW w:w="4023" w:type="pct"/>
            <w:tcBorders>
              <w:top w:val="single" w:color="000000" w:sz="8" w:space="0"/>
              <w:left w:val="single" w:color="000000" w:sz="8" w:space="0"/>
              <w:bottom w:val="single" w:color="000000" w:sz="8" w:space="0"/>
              <w:right w:val="single" w:color="000000" w:sz="8" w:space="0"/>
            </w:tcBorders>
            <w:vAlign w:val="center"/>
          </w:tcPr>
          <w:p w14:paraId="40329D8D">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Serious Adverse Event</w:t>
            </w:r>
          </w:p>
        </w:tc>
      </w:tr>
      <w:tr w14:paraId="5C21069A">
        <w:tc>
          <w:tcPr>
            <w:tcW w:w="976" w:type="pct"/>
            <w:tcBorders>
              <w:top w:val="single" w:color="000000" w:sz="8" w:space="0"/>
              <w:left w:val="single" w:color="000000" w:sz="8" w:space="0"/>
              <w:bottom w:val="single" w:color="000000" w:sz="8" w:space="0"/>
              <w:right w:val="single" w:color="000000" w:sz="8" w:space="0"/>
            </w:tcBorders>
            <w:vAlign w:val="center"/>
          </w:tcPr>
          <w:p w14:paraId="2A71F305">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SAS</w:t>
            </w:r>
          </w:p>
        </w:tc>
        <w:tc>
          <w:tcPr>
            <w:tcW w:w="4023" w:type="pct"/>
            <w:tcBorders>
              <w:top w:val="single" w:color="000000" w:sz="8" w:space="0"/>
              <w:left w:val="single" w:color="000000" w:sz="8" w:space="0"/>
              <w:bottom w:val="single" w:color="000000" w:sz="8" w:space="0"/>
              <w:right w:val="single" w:color="000000" w:sz="8" w:space="0"/>
            </w:tcBorders>
            <w:vAlign w:val="center"/>
          </w:tcPr>
          <w:p w14:paraId="19740D98">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Statistical Analysis System</w:t>
            </w:r>
          </w:p>
        </w:tc>
      </w:tr>
      <w:tr w14:paraId="0DC31B9F">
        <w:tc>
          <w:tcPr>
            <w:tcW w:w="976" w:type="pct"/>
            <w:tcBorders>
              <w:top w:val="single" w:color="000000" w:sz="8" w:space="0"/>
              <w:left w:val="single" w:color="000000" w:sz="8" w:space="0"/>
              <w:bottom w:val="single" w:color="000000" w:sz="8" w:space="0"/>
              <w:right w:val="single" w:color="000000" w:sz="8" w:space="0"/>
            </w:tcBorders>
            <w:vAlign w:val="center"/>
          </w:tcPr>
          <w:p w14:paraId="456E5CFF">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SBP</w:t>
            </w:r>
          </w:p>
        </w:tc>
        <w:tc>
          <w:tcPr>
            <w:tcW w:w="4023" w:type="pct"/>
            <w:tcBorders>
              <w:top w:val="single" w:color="000000" w:sz="8" w:space="0"/>
              <w:left w:val="single" w:color="000000" w:sz="8" w:space="0"/>
              <w:bottom w:val="single" w:color="000000" w:sz="8" w:space="0"/>
              <w:right w:val="single" w:color="000000" w:sz="8" w:space="0"/>
            </w:tcBorders>
            <w:vAlign w:val="center"/>
          </w:tcPr>
          <w:p w14:paraId="5904BFC8">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Systolic Blood Pressure</w:t>
            </w:r>
          </w:p>
        </w:tc>
      </w:tr>
      <w:tr w14:paraId="544AC1D3">
        <w:tc>
          <w:tcPr>
            <w:tcW w:w="976" w:type="pct"/>
            <w:tcBorders>
              <w:top w:val="single" w:color="000000" w:sz="8" w:space="0"/>
              <w:left w:val="single" w:color="000000" w:sz="8" w:space="0"/>
              <w:bottom w:val="single" w:color="000000" w:sz="8" w:space="0"/>
              <w:right w:val="single" w:color="000000" w:sz="8" w:space="0"/>
            </w:tcBorders>
            <w:vAlign w:val="center"/>
          </w:tcPr>
          <w:p w14:paraId="6032E009">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SD</w:t>
            </w:r>
          </w:p>
        </w:tc>
        <w:tc>
          <w:tcPr>
            <w:tcW w:w="4023" w:type="pct"/>
            <w:tcBorders>
              <w:top w:val="single" w:color="000000" w:sz="8" w:space="0"/>
              <w:left w:val="single" w:color="000000" w:sz="8" w:space="0"/>
              <w:bottom w:val="single" w:color="000000" w:sz="8" w:space="0"/>
              <w:right w:val="single" w:color="000000" w:sz="8" w:space="0"/>
            </w:tcBorders>
            <w:vAlign w:val="center"/>
          </w:tcPr>
          <w:p w14:paraId="5FF02B8F">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Stable Disease</w:t>
            </w:r>
          </w:p>
        </w:tc>
      </w:tr>
      <w:tr w14:paraId="746B5C0A">
        <w:tc>
          <w:tcPr>
            <w:tcW w:w="976" w:type="pct"/>
            <w:tcBorders>
              <w:top w:val="single" w:color="000000" w:sz="8" w:space="0"/>
              <w:left w:val="single" w:color="000000" w:sz="8" w:space="0"/>
              <w:bottom w:val="single" w:color="000000" w:sz="8" w:space="0"/>
              <w:right w:val="single" w:color="000000" w:sz="8" w:space="0"/>
            </w:tcBorders>
            <w:vAlign w:val="center"/>
          </w:tcPr>
          <w:p w14:paraId="09E10DBF">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scFv</w:t>
            </w:r>
          </w:p>
        </w:tc>
        <w:tc>
          <w:tcPr>
            <w:tcW w:w="4023" w:type="pct"/>
            <w:tcBorders>
              <w:top w:val="single" w:color="000000" w:sz="8" w:space="0"/>
              <w:left w:val="single" w:color="000000" w:sz="8" w:space="0"/>
              <w:bottom w:val="single" w:color="000000" w:sz="8" w:space="0"/>
              <w:right w:val="single" w:color="000000" w:sz="8" w:space="0"/>
            </w:tcBorders>
            <w:vAlign w:val="center"/>
          </w:tcPr>
          <w:p w14:paraId="72BD129B">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Single-Chain Variable Fragment</w:t>
            </w:r>
          </w:p>
        </w:tc>
      </w:tr>
      <w:tr w14:paraId="466BB2EF">
        <w:tc>
          <w:tcPr>
            <w:tcW w:w="976" w:type="pct"/>
            <w:tcBorders>
              <w:top w:val="single" w:color="000000" w:sz="8" w:space="0"/>
              <w:left w:val="single" w:color="000000" w:sz="8" w:space="0"/>
              <w:bottom w:val="single" w:color="000000" w:sz="8" w:space="0"/>
              <w:right w:val="single" w:color="000000" w:sz="8" w:space="0"/>
            </w:tcBorders>
            <w:vAlign w:val="center"/>
          </w:tcPr>
          <w:p w14:paraId="5DCC0EE2">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SMA</w:t>
            </w:r>
          </w:p>
        </w:tc>
        <w:tc>
          <w:tcPr>
            <w:tcW w:w="4023" w:type="pct"/>
            <w:tcBorders>
              <w:top w:val="single" w:color="000000" w:sz="8" w:space="0"/>
              <w:left w:val="single" w:color="000000" w:sz="8" w:space="0"/>
              <w:bottom w:val="single" w:color="000000" w:sz="8" w:space="0"/>
              <w:right w:val="single" w:color="000000" w:sz="8" w:space="0"/>
            </w:tcBorders>
            <w:vAlign w:val="center"/>
          </w:tcPr>
          <w:p w14:paraId="0363FF35">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Smooth Muscle Antibody</w:t>
            </w:r>
          </w:p>
        </w:tc>
      </w:tr>
      <w:tr w14:paraId="13A691B1">
        <w:tc>
          <w:tcPr>
            <w:tcW w:w="976" w:type="pct"/>
            <w:tcBorders>
              <w:top w:val="single" w:color="000000" w:sz="8" w:space="0"/>
              <w:left w:val="single" w:color="000000" w:sz="8" w:space="0"/>
              <w:bottom w:val="single" w:color="000000" w:sz="8" w:space="0"/>
              <w:right w:val="single" w:color="000000" w:sz="8" w:space="0"/>
            </w:tcBorders>
            <w:vAlign w:val="center"/>
          </w:tcPr>
          <w:p w14:paraId="1F063FF0">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SOP</w:t>
            </w:r>
          </w:p>
        </w:tc>
        <w:tc>
          <w:tcPr>
            <w:tcW w:w="4023" w:type="pct"/>
            <w:tcBorders>
              <w:top w:val="single" w:color="000000" w:sz="8" w:space="0"/>
              <w:left w:val="single" w:color="000000" w:sz="8" w:space="0"/>
              <w:bottom w:val="single" w:color="000000" w:sz="8" w:space="0"/>
              <w:right w:val="single" w:color="000000" w:sz="8" w:space="0"/>
            </w:tcBorders>
            <w:vAlign w:val="center"/>
          </w:tcPr>
          <w:p w14:paraId="60E93351">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Standard Operating Procedure</w:t>
            </w:r>
          </w:p>
        </w:tc>
      </w:tr>
      <w:tr w14:paraId="6D4C30F4">
        <w:tc>
          <w:tcPr>
            <w:tcW w:w="976" w:type="pct"/>
            <w:tcBorders>
              <w:top w:val="single" w:color="000000" w:sz="8" w:space="0"/>
              <w:left w:val="single" w:color="000000" w:sz="8" w:space="0"/>
              <w:bottom w:val="single" w:color="000000" w:sz="8" w:space="0"/>
              <w:right w:val="single" w:color="000000" w:sz="8" w:space="0"/>
            </w:tcBorders>
            <w:vAlign w:val="center"/>
          </w:tcPr>
          <w:p w14:paraId="7A6011D6">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TCR</w:t>
            </w:r>
          </w:p>
        </w:tc>
        <w:tc>
          <w:tcPr>
            <w:tcW w:w="4023" w:type="pct"/>
            <w:tcBorders>
              <w:top w:val="single" w:color="000000" w:sz="8" w:space="0"/>
              <w:left w:val="single" w:color="000000" w:sz="8" w:space="0"/>
              <w:bottom w:val="single" w:color="000000" w:sz="8" w:space="0"/>
              <w:right w:val="single" w:color="000000" w:sz="8" w:space="0"/>
            </w:tcBorders>
            <w:vAlign w:val="center"/>
          </w:tcPr>
          <w:p w14:paraId="36D0B125">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T Cell Receptor</w:t>
            </w:r>
          </w:p>
        </w:tc>
      </w:tr>
      <w:tr w14:paraId="53DF1458">
        <w:tc>
          <w:tcPr>
            <w:tcW w:w="976" w:type="pct"/>
            <w:tcBorders>
              <w:top w:val="single" w:color="000000" w:sz="8" w:space="0"/>
              <w:left w:val="single" w:color="000000" w:sz="8" w:space="0"/>
              <w:bottom w:val="single" w:color="000000" w:sz="8" w:space="0"/>
              <w:right w:val="single" w:color="000000" w:sz="8" w:space="0"/>
            </w:tcBorders>
            <w:vAlign w:val="center"/>
          </w:tcPr>
          <w:p w14:paraId="2EBA8C4F">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TNFα</w:t>
            </w:r>
          </w:p>
        </w:tc>
        <w:tc>
          <w:tcPr>
            <w:tcW w:w="4023" w:type="pct"/>
            <w:tcBorders>
              <w:top w:val="single" w:color="000000" w:sz="8" w:space="0"/>
              <w:left w:val="single" w:color="000000" w:sz="8" w:space="0"/>
              <w:bottom w:val="single" w:color="000000" w:sz="8" w:space="0"/>
              <w:right w:val="single" w:color="000000" w:sz="8" w:space="0"/>
            </w:tcBorders>
            <w:vAlign w:val="center"/>
          </w:tcPr>
          <w:p w14:paraId="78085977">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Tumor Necrosis Factor α</w:t>
            </w:r>
          </w:p>
        </w:tc>
      </w:tr>
      <w:tr w14:paraId="173739A6">
        <w:tc>
          <w:tcPr>
            <w:tcW w:w="976" w:type="pct"/>
            <w:tcBorders>
              <w:top w:val="single" w:color="000000" w:sz="8" w:space="0"/>
              <w:left w:val="single" w:color="000000" w:sz="8" w:space="0"/>
              <w:bottom w:val="single" w:color="000000" w:sz="8" w:space="0"/>
              <w:right w:val="single" w:color="000000" w:sz="8" w:space="0"/>
            </w:tcBorders>
            <w:vAlign w:val="center"/>
          </w:tcPr>
          <w:p w14:paraId="03B9710B">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TKI</w:t>
            </w:r>
          </w:p>
        </w:tc>
        <w:tc>
          <w:tcPr>
            <w:tcW w:w="4023" w:type="pct"/>
            <w:tcBorders>
              <w:top w:val="single" w:color="000000" w:sz="8" w:space="0"/>
              <w:left w:val="single" w:color="000000" w:sz="8" w:space="0"/>
              <w:bottom w:val="single" w:color="000000" w:sz="8" w:space="0"/>
              <w:right w:val="single" w:color="000000" w:sz="8" w:space="0"/>
            </w:tcBorders>
            <w:vAlign w:val="center"/>
          </w:tcPr>
          <w:p w14:paraId="7FB111C4">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Tyrosine Kinase Inhibitor</w:t>
            </w:r>
          </w:p>
        </w:tc>
      </w:tr>
      <w:tr w14:paraId="6BDE6CF2">
        <w:tc>
          <w:tcPr>
            <w:tcW w:w="976" w:type="pct"/>
            <w:tcBorders>
              <w:top w:val="single" w:color="000000" w:sz="8" w:space="0"/>
              <w:left w:val="single" w:color="000000" w:sz="8" w:space="0"/>
              <w:bottom w:val="single" w:color="000000" w:sz="8" w:space="0"/>
              <w:right w:val="single" w:color="000000" w:sz="8" w:space="0"/>
            </w:tcBorders>
            <w:vAlign w:val="center"/>
          </w:tcPr>
          <w:p w14:paraId="23D16DAD">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TRAE</w:t>
            </w:r>
          </w:p>
        </w:tc>
        <w:tc>
          <w:tcPr>
            <w:tcW w:w="4023" w:type="pct"/>
            <w:tcBorders>
              <w:top w:val="single" w:color="000000" w:sz="8" w:space="0"/>
              <w:left w:val="single" w:color="000000" w:sz="8" w:space="0"/>
              <w:bottom w:val="single" w:color="000000" w:sz="8" w:space="0"/>
              <w:right w:val="single" w:color="000000" w:sz="8" w:space="0"/>
            </w:tcBorders>
            <w:vAlign w:val="center"/>
          </w:tcPr>
          <w:p w14:paraId="17365F05">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Treatment-Related Adverse Event</w:t>
            </w:r>
          </w:p>
        </w:tc>
      </w:tr>
      <w:tr w14:paraId="39CBE986">
        <w:tc>
          <w:tcPr>
            <w:tcW w:w="976" w:type="pct"/>
            <w:tcBorders>
              <w:top w:val="single" w:color="000000" w:sz="8" w:space="0"/>
              <w:left w:val="single" w:color="000000" w:sz="8" w:space="0"/>
              <w:bottom w:val="single" w:color="000000" w:sz="8" w:space="0"/>
              <w:right w:val="single" w:color="000000" w:sz="8" w:space="0"/>
            </w:tcBorders>
            <w:vAlign w:val="center"/>
          </w:tcPr>
          <w:p w14:paraId="28AB0D87">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TSH</w:t>
            </w:r>
          </w:p>
        </w:tc>
        <w:tc>
          <w:tcPr>
            <w:tcW w:w="4023" w:type="pct"/>
            <w:tcBorders>
              <w:top w:val="single" w:color="000000" w:sz="8" w:space="0"/>
              <w:left w:val="single" w:color="000000" w:sz="8" w:space="0"/>
              <w:bottom w:val="single" w:color="000000" w:sz="8" w:space="0"/>
              <w:right w:val="single" w:color="000000" w:sz="8" w:space="0"/>
            </w:tcBorders>
            <w:vAlign w:val="center"/>
          </w:tcPr>
          <w:p w14:paraId="66FD5056">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Thyroid Stimulating Hormone</w:t>
            </w:r>
          </w:p>
        </w:tc>
      </w:tr>
      <w:tr w14:paraId="2ED58E6A">
        <w:tc>
          <w:tcPr>
            <w:tcW w:w="976" w:type="pct"/>
            <w:tcBorders>
              <w:top w:val="single" w:color="000000" w:sz="8" w:space="0"/>
              <w:left w:val="single" w:color="000000" w:sz="8" w:space="0"/>
              <w:bottom w:val="single" w:color="000000" w:sz="8" w:space="0"/>
              <w:right w:val="single" w:color="000000" w:sz="8" w:space="0"/>
            </w:tcBorders>
            <w:vAlign w:val="center"/>
          </w:tcPr>
          <w:p w14:paraId="73F47B31">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ULN</w:t>
            </w:r>
          </w:p>
        </w:tc>
        <w:tc>
          <w:tcPr>
            <w:tcW w:w="4023" w:type="pct"/>
            <w:tcBorders>
              <w:top w:val="single" w:color="000000" w:sz="8" w:space="0"/>
              <w:left w:val="single" w:color="000000" w:sz="8" w:space="0"/>
              <w:bottom w:val="single" w:color="000000" w:sz="8" w:space="0"/>
              <w:right w:val="single" w:color="000000" w:sz="8" w:space="0"/>
            </w:tcBorders>
            <w:vAlign w:val="center"/>
          </w:tcPr>
          <w:p w14:paraId="5D5595EC">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Upper Limit of Normal</w:t>
            </w:r>
          </w:p>
        </w:tc>
      </w:tr>
      <w:tr w14:paraId="008753B7">
        <w:tc>
          <w:tcPr>
            <w:tcW w:w="976" w:type="pct"/>
            <w:tcBorders>
              <w:top w:val="single" w:color="000000" w:sz="8" w:space="0"/>
              <w:left w:val="single" w:color="000000" w:sz="8" w:space="0"/>
              <w:bottom w:val="single" w:color="000000" w:sz="8" w:space="0"/>
              <w:right w:val="single" w:color="000000" w:sz="8" w:space="0"/>
            </w:tcBorders>
            <w:vAlign w:val="center"/>
          </w:tcPr>
          <w:p w14:paraId="25D18A3D">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UEC</w:t>
            </w:r>
          </w:p>
        </w:tc>
        <w:tc>
          <w:tcPr>
            <w:tcW w:w="4023" w:type="pct"/>
            <w:tcBorders>
              <w:top w:val="single" w:color="000000" w:sz="8" w:space="0"/>
              <w:left w:val="single" w:color="000000" w:sz="8" w:space="0"/>
              <w:bottom w:val="single" w:color="000000" w:sz="8" w:space="0"/>
              <w:right w:val="single" w:color="000000" w:sz="8" w:space="0"/>
            </w:tcBorders>
            <w:vAlign w:val="center"/>
          </w:tcPr>
          <w:p w14:paraId="194E95A8">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Urea, Electrolytes, Creatinine</w:t>
            </w:r>
          </w:p>
        </w:tc>
      </w:tr>
      <w:tr w14:paraId="587CCCA5">
        <w:tc>
          <w:tcPr>
            <w:tcW w:w="976" w:type="pct"/>
            <w:tcBorders>
              <w:top w:val="single" w:color="000000" w:sz="8" w:space="0"/>
              <w:left w:val="single" w:color="000000" w:sz="8" w:space="0"/>
              <w:bottom w:val="single" w:color="000000" w:sz="8" w:space="0"/>
              <w:right w:val="single" w:color="000000" w:sz="8" w:space="0"/>
            </w:tcBorders>
            <w:vAlign w:val="center"/>
          </w:tcPr>
          <w:p w14:paraId="02E7F21B">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VMAT</w:t>
            </w:r>
          </w:p>
        </w:tc>
        <w:tc>
          <w:tcPr>
            <w:tcW w:w="4023" w:type="pct"/>
            <w:tcBorders>
              <w:top w:val="single" w:color="000000" w:sz="8" w:space="0"/>
              <w:left w:val="single" w:color="000000" w:sz="8" w:space="0"/>
              <w:bottom w:val="single" w:color="000000" w:sz="8" w:space="0"/>
              <w:right w:val="single" w:color="000000" w:sz="8" w:space="0"/>
            </w:tcBorders>
            <w:vAlign w:val="center"/>
          </w:tcPr>
          <w:p w14:paraId="193F1CDE">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Volumetric Modulated Arc Therapy</w:t>
            </w:r>
          </w:p>
        </w:tc>
      </w:tr>
      <w:tr w14:paraId="4840B999">
        <w:tc>
          <w:tcPr>
            <w:tcW w:w="976" w:type="pct"/>
            <w:tcBorders>
              <w:top w:val="single" w:color="000000" w:sz="8" w:space="0"/>
              <w:left w:val="single" w:color="000000" w:sz="8" w:space="0"/>
              <w:bottom w:val="single" w:color="000000" w:sz="8" w:space="0"/>
              <w:right w:val="single" w:color="000000" w:sz="8" w:space="0"/>
            </w:tcBorders>
            <w:vAlign w:val="center"/>
          </w:tcPr>
          <w:p w14:paraId="3A1E43A8">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V20</w:t>
            </w:r>
          </w:p>
        </w:tc>
        <w:tc>
          <w:tcPr>
            <w:tcW w:w="4023" w:type="pct"/>
            <w:tcBorders>
              <w:top w:val="single" w:color="000000" w:sz="8" w:space="0"/>
              <w:left w:val="single" w:color="000000" w:sz="8" w:space="0"/>
              <w:bottom w:val="single" w:color="000000" w:sz="8" w:space="0"/>
              <w:right w:val="single" w:color="000000" w:sz="8" w:space="0"/>
            </w:tcBorders>
            <w:vAlign w:val="center"/>
          </w:tcPr>
          <w:p w14:paraId="14AFEE4D">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Volume of Lung Receiving ≥20 Gy</w:t>
            </w:r>
          </w:p>
        </w:tc>
      </w:tr>
      <w:tr w14:paraId="40217DA9">
        <w:tc>
          <w:tcPr>
            <w:tcW w:w="976" w:type="pct"/>
            <w:tcBorders>
              <w:top w:val="single" w:color="000000" w:sz="8" w:space="0"/>
              <w:left w:val="single" w:color="000000" w:sz="8" w:space="0"/>
              <w:bottom w:val="single" w:color="000000" w:sz="8" w:space="0"/>
              <w:right w:val="single" w:color="000000" w:sz="8" w:space="0"/>
            </w:tcBorders>
            <w:vAlign w:val="center"/>
          </w:tcPr>
          <w:p w14:paraId="46661C23">
            <w:pPr>
              <w:widowControl/>
              <w:spacing w:line="240" w:lineRule="atLeast"/>
              <w:jc w:val="center"/>
              <w:rPr>
                <w:rFonts w:ascii="Times New Roman" w:hAnsi="Times New Roman" w:cs="Times New Roman"/>
                <w:color w:val="000000"/>
                <w:sz w:val="24"/>
              </w:rPr>
            </w:pPr>
            <w:r>
              <w:rPr>
                <w:rFonts w:ascii="Times New Roman" w:hAnsi="Times New Roman" w:eastAsia="宋体" w:cs="Times New Roman"/>
                <w:color w:val="000000"/>
                <w:kern w:val="0"/>
                <w:sz w:val="24"/>
                <w:lang w:bidi="ar"/>
              </w:rPr>
              <w:t>V50</w:t>
            </w:r>
          </w:p>
        </w:tc>
        <w:tc>
          <w:tcPr>
            <w:tcW w:w="4023" w:type="pct"/>
            <w:tcBorders>
              <w:top w:val="single" w:color="000000" w:sz="8" w:space="0"/>
              <w:left w:val="single" w:color="000000" w:sz="8" w:space="0"/>
              <w:bottom w:val="single" w:color="000000" w:sz="8" w:space="0"/>
              <w:right w:val="single" w:color="000000" w:sz="8" w:space="0"/>
            </w:tcBorders>
            <w:vAlign w:val="center"/>
          </w:tcPr>
          <w:p w14:paraId="121C17B4">
            <w:pPr>
              <w:widowControl/>
              <w:spacing w:line="240" w:lineRule="atLeast"/>
              <w:jc w:val="left"/>
              <w:rPr>
                <w:rFonts w:ascii="Times New Roman" w:hAnsi="Times New Roman" w:cs="Times New Roman"/>
                <w:color w:val="000000"/>
                <w:sz w:val="24"/>
              </w:rPr>
            </w:pPr>
            <w:r>
              <w:rPr>
                <w:rFonts w:ascii="Times New Roman" w:hAnsi="Times New Roman" w:eastAsia="宋体" w:cs="Times New Roman"/>
                <w:color w:val="000000"/>
                <w:kern w:val="0"/>
                <w:sz w:val="24"/>
                <w:lang w:bidi="ar"/>
              </w:rPr>
              <w:t>Volume of Heart Receiving ≥50 Gy</w:t>
            </w:r>
          </w:p>
        </w:tc>
      </w:tr>
      <w:bookmarkEnd w:id="28"/>
    </w:tbl>
    <w:p w14:paraId="65FBB407">
      <w:pPr>
        <w:pStyle w:val="2"/>
        <w:spacing w:line="360" w:lineRule="auto"/>
        <w:ind w:firstLineChars="200"/>
        <w:rPr>
          <w:rFonts w:ascii="Times New Roman" w:hAnsi="Times New Roman" w:cs="Times New Roman"/>
        </w:rPr>
      </w:pPr>
      <w:bookmarkStart w:id="29" w:name="_Toc1542499833"/>
      <w:bookmarkStart w:id="30" w:name="_Toc1502023294"/>
      <w:r>
        <w:rPr>
          <w:rFonts w:ascii="Times New Roman" w:hAnsi="Times New Roman" w:cs="Times New Roman"/>
        </w:rPr>
        <w:t>1 Background</w:t>
      </w:r>
      <w:bookmarkEnd w:id="29"/>
      <w:bookmarkEnd w:id="30"/>
    </w:p>
    <w:p w14:paraId="4E353BB6">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Lung cancer is the most common malignancy worldwide. In 2012, there were approximately 1.8 million new cases and 1.59 million deaths globally, making it the leading cause of cancer incidence and mortality (Ferlay et al., 2015). In China, an estimated 733,000 new lung cancer cases were reported in 2015. Lung cancer remains the primary cause of cancer-related deaths in both men and women, with approximately 612,000 deaths recorded in China in 2015 (Chen et al., 2016). The prognosis of lung cancer is generally poor and largely dependent on the stage at diagnosis. Globally, lung cancer is staged according to the 8th edition of the tumor–node–metastasis (TNM) classification system. When diagnosed at an early stage, lung cancer may be curable with radical surgery or chemoradiotherapy. Unfortunately, the majority of cases are detected at relatively advanced stages, substantially reducing the likelihood of cure. Approximately one-third of patients with non-small cell lung cancer (NSCLC) present with stage III disease involving mediastinal lymph nodes or adjacent mediastinal structures, with reported 5-year survival rates of 36% for stage IIIA, 26% for stage IIIB, and 13% for stage IIIC (Goldstraw et al., 2016).</w:t>
      </w:r>
    </w:p>
    <w:p w14:paraId="79FEE2DA">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Concurrent chemoradiotherapy (cCRT) has long been the standard first-line treatment for patients with unresectable, locally advanced stage III NSCLC. Clinical evidence demonstrates that combined chemotherapy and radiotherapy is superior to radiotherapy (RT) alone (Auperin et al., 2007). Multiple studies have shown favorable outcomes with cCRT. A meta-analysis conducted in the mid-1990s using updated individual patient data from 52 randomized clinical trials (Group, 1995), along with a subsequent meta-analysis of 1,764 patients receiving platinum-based chemotherapy (Aupérin et al., 2006), indicated that the addition of either sequential or concurrent chemotherapy to RT significantly improved survival in patients with locally advanced NSCLC. Direct comparisons of cCRT versus sequential CRT in 1,205 patients across six clinical trials demonstrated significant overall survival (OS) benefits with cCRT (hazard ratio</w:t>
      </w:r>
      <w:r>
        <w:rPr>
          <w:rFonts w:hint="eastAsia" w:ascii="Times New Roman" w:hAnsi="Times New Roman" w:cs="Times New Roman"/>
          <w:sz w:val="24"/>
        </w:rPr>
        <w:t xml:space="preserve"> </w:t>
      </w:r>
      <w:r>
        <w:rPr>
          <w:rFonts w:ascii="Times New Roman" w:hAnsi="Times New Roman" w:cs="Times New Roman"/>
          <w:sz w:val="24"/>
        </w:rPr>
        <w:t xml:space="preserve">(HR), 0.84; 95% confidence interval (CI), 0.74–0.95; p = 0.004), corresponding to absolute improvements in 3-year OS (5.7%; 18.1% vs. 23.8%) and 5-year OS (4.5%). The HR for progression-free survival (PFS) was 0.90 (95% CI, 0.79–1.01; p = 0.07). Concurrent therapy significantly reduced the risk of locoregional progression (HR, 0.77; 95% CI, 0.62–0.95; p = 0.01), though no difference was observed in distant progression (HR, 1.04; 95% CI, 0.86–1.25; p = 0.69). While cCRT increased the risk of acute esophageal toxicity, there was no significant difference in acute pulmonary toxicity (Aupérin et al., 2010). Strategies involving induction or consolidation chemotherapy in addition to cCRT have also been investigated. Induction chemotherapy was associated with higher rates of neutropenia and did not improve OS (Vokes et al., 2007). Similarly, consolidation chemotherapy following cCRT did not confer OS benefit compared with cCRT alone (Tsujino et al., 2013). Thus, cCRT remains the primary standard-of-care for patients with unresectable, </w:t>
      </w:r>
      <w:r>
        <w:rPr>
          <w:rFonts w:ascii="Times New Roman" w:hAnsi="Times New Roman" w:cs="Times New Roman"/>
          <w:sz w:val="24"/>
          <w:lang w:val="en-US"/>
        </w:rPr>
        <w:t xml:space="preserve">stage III </w:t>
      </w:r>
      <w:r>
        <w:rPr>
          <w:rFonts w:ascii="Times New Roman" w:hAnsi="Times New Roman" w:cs="Times New Roman"/>
          <w:sz w:val="24"/>
        </w:rPr>
        <w:t>stage III NSCLC.</w:t>
      </w:r>
    </w:p>
    <w:p w14:paraId="48803CDE">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 xml:space="preserve">Immune checkpoint blockade targeting programmed cell death protein-1 (PD-1) or programmed cell death-ligand 1 (PD-L1) has become an effective therapeutic strategy for patients with varying levels of PD-L1 expression (Hanna et al., 2017). These agents act on the PD-1/PD-L1 pathway in T lymphocytes, which tumors exploit to evade immune surveillance. In treatment-naïve, </w:t>
      </w:r>
      <w:r>
        <w:rPr>
          <w:rFonts w:hint="eastAsia" w:ascii="Times New Roman" w:hAnsi="Times New Roman" w:cs="Times New Roman"/>
          <w:sz w:val="24"/>
        </w:rPr>
        <w:t xml:space="preserve">stage III </w:t>
      </w:r>
      <w:r>
        <w:rPr>
          <w:rFonts w:ascii="Times New Roman" w:hAnsi="Times New Roman" w:cs="Times New Roman"/>
          <w:sz w:val="24"/>
        </w:rPr>
        <w:t>NSCLC, the PACIFIC trial established the benefit of immune checkpoint inhibition following the completion of cCRT (Antonia et al., 2018; Gray et al., 2020). This global phase III trial evaluated durvalumab, an anti–PD-L1 antibody, versus placebo as consolidation therapy in patients with unresectable stage III NSCLC who did not progress after ≥2 cycles of platinum-based chemotherapy administered concurrently with definitive RT (54–66 G</w:t>
      </w:r>
      <w:r>
        <w:rPr>
          <w:rFonts w:hint="eastAsia" w:ascii="Times New Roman" w:hAnsi="Times New Roman" w:cs="Times New Roman"/>
          <w:sz w:val="24"/>
          <w:lang w:val="en-US" w:eastAsia="zh-CN"/>
        </w:rPr>
        <w:t>ray</w:t>
      </w:r>
      <w:r>
        <w:rPr>
          <w:rFonts w:hint="default" w:ascii="Times New Roman" w:hAnsi="Times New Roman" w:cs="Times New Roman"/>
          <w:sz w:val="24"/>
          <w:lang w:val="en-US" w:eastAsia="zh-CN"/>
        </w:rPr>
        <w:t xml:space="preserve"> (G</w:t>
      </w:r>
      <w:r>
        <w:rPr>
          <w:rFonts w:ascii="Times New Roman" w:hAnsi="Times New Roman" w:cs="Times New Roman"/>
          <w:sz w:val="24"/>
        </w:rPr>
        <w:t>y</w:t>
      </w:r>
      <w:r>
        <w:rPr>
          <w:rFonts w:hint="default" w:ascii="Times New Roman" w:hAnsi="Times New Roman" w:cs="Times New Roman"/>
          <w:sz w:val="24"/>
          <w:lang w:val="en-US"/>
        </w:rPr>
        <w:t>)</w:t>
      </w:r>
      <w:r>
        <w:rPr>
          <w:rFonts w:ascii="Times New Roman" w:hAnsi="Times New Roman" w:cs="Times New Roman"/>
          <w:sz w:val="24"/>
        </w:rPr>
        <w:t>). Patients randomized within 1–42 days after cCRT derived significant benefit from durvalumab, with a median PFS of 17.2 months versus 5.6 months in the placebo arm (HR for disease progression or death, 0.55; 95% CI, 0.44–0.67) (Faivre-Finn et al., 2020). Notably, the trial imposed no restrictions based on PD-L1 expression, and PFS benefit was observed irrespective of baseline PD-L1 status (HR, 0.59 [95% CI, 0.43–0.82] for PD-L1 &lt;25%; HR, 0.41 [95% CI, 0.26–0.65] for PD-L1 ≥25%). Durvalumab's safety profile was consistent with prior immunotherapy studies and its use in advanced NSCLC. Although rates of pulmonary inflammation and radiation pneumonitis were slightly increased compared with placebo, these events were generally low grade, and the incidence of grade 3–4 events was similar between arms (3.4% vs. 2.6%) (Gandara et al., 2003; Hanna et al., 2008). Based on these results, the U.S. Food and Drug Administration approved durvalumab in February 2018 for patients with unresectable stage III NSCLC without progression after cCRT, with subsequent regulatory approvals in Japan, Europe, and China. However, the European Medicines Agency (EMA) restricted approval to patients with PD-L1 expression ≥1%, based on retrospective OS analyses (Antonia et al., 2018). Updated analyses with a median follow-up of 34.2 months reported median OS of 47.5 months with durvalumab versus 29.1 months with placebo (HR, 0.71; 95% CI, 0.57–0.88), with OS rates at 12, 24, 36, and 48 months of 83.1%, 66.3%, 56.7%, and 49.6% for durvalumab versus 74.6%, 55.3%, 43.6%, and 36.3% for placebo, respectively (Faivre-Finn et al., 2020). GEMSTONE-301 was a randomized, placebo-controlled phase III trial evaluating sugemalimab as consolidation therapy in patients with unresectable stage III NSCLC who had not progressed following concurrent (cCRT) or sequential chemoradiotherapy (sCRT). A total of 381 patients were enrolled, with 255 assigned to the sugemalimab arm and 126 to the placebo arm. As of March 8, 2021, the median follow-up was 14.3 months for the sugemalimab group and 13.7 months for the placebo group. PFS, as assessed by blinded independent central review (BICR), was significantly longer with sugemalimab compared to placebo (median PFS: 9.0 vs. 5.8 months; HR 0.64; p = 0.0026). The incidence of treatment-related adverse events (TRAEs) of grade ≥3 was 9% in the sugemalimab group versus 6% in the placebo group. Based on the results of GEMSTONE-301, the National Medical Products Administration (NMPA) approved sugemalimab on June 2, 2022, for the treatment of patients with unresectable stage III NSCLC who had not experienced disease progression following platinum-based cCRT or sCRT.</w:t>
      </w:r>
    </w:p>
    <w:p w14:paraId="3E6C33F3">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 xml:space="preserve">To date, two PD-L1 inhibitors, durvalumab and sugemalimab, have been approved as consolidation therapy after cCRT in NSCLC. Meanwhile, several phase II studies have investigated the safety and efficacy of PD-1 inhibitors in combination with cCRT. LUN 14-179 was a prospective phase II trial evaluating </w:t>
      </w:r>
      <w:r>
        <w:rPr>
          <w:rFonts w:ascii="Times New Roman" w:hAnsi="Times New Roman" w:cs="Times New Roman"/>
          <w:sz w:val="24"/>
          <w:lang w:val="en-US"/>
        </w:rPr>
        <w:t>Cadonilimab</w:t>
      </w:r>
      <w:r>
        <w:rPr>
          <w:rFonts w:ascii="Times New Roman" w:hAnsi="Times New Roman" w:cs="Times New Roman"/>
          <w:sz w:val="24"/>
        </w:rPr>
        <w:t xml:space="preserve"> as consolidation therapy in patients with unresectable stage III NSCLC following cCRT. The primary endpoint was time to metastatic disease or death (TMDD). As of May 7, 2019, with a median follow-up of 32.2 months, the median TMDD was 30.7 months, compared to approximately 12 months reported in prior CRT-only studies, indicating a significant reduction in the risk of distant relapse (Durm et al., 2020). The median PFS was 18.7 months (95% CI, 12.4–33.8), and the median OS was 35.8 months (95% CI, 24.2–not reached). The 12-, 24-, and 36-month OS rates were 81.2%, 62.0%, and 48.5%, respectively, consistent with the efficacy outcomes reported in the PACIFIC trial. The safety profile was comparable to previous </w:t>
      </w:r>
      <w:r>
        <w:rPr>
          <w:rFonts w:ascii="Times New Roman" w:hAnsi="Times New Roman" w:cs="Times New Roman"/>
          <w:sz w:val="24"/>
          <w:lang w:val="en-US"/>
        </w:rPr>
        <w:t>Cadonilimab</w:t>
      </w:r>
      <w:r>
        <w:rPr>
          <w:rFonts w:ascii="Times New Roman" w:hAnsi="Times New Roman" w:cs="Times New Roman"/>
          <w:sz w:val="24"/>
        </w:rPr>
        <w:t xml:space="preserve"> studies and to the PACIFIC trial, with grade ≥3 pneumonitis occurring in 5.4% of patients. These findings suggest that PD-1 inhibitors as consolidation therapy after cCRT in NSCLC provide efficacy and safety outcomes similar to those of durvalumab. LUN 14-179 also included exploratory analyses of factors potentially associated with </w:t>
      </w:r>
      <w:r>
        <w:rPr>
          <w:rFonts w:ascii="Times New Roman" w:hAnsi="Times New Roman" w:cs="Times New Roman"/>
          <w:sz w:val="24"/>
          <w:lang w:val="en-US"/>
        </w:rPr>
        <w:t>Cadonilimab</w:t>
      </w:r>
      <w:r>
        <w:rPr>
          <w:rFonts w:ascii="Times New Roman" w:hAnsi="Times New Roman" w:cs="Times New Roman"/>
          <w:sz w:val="24"/>
        </w:rPr>
        <w:t xml:space="preserve"> efficacy, including PD-L1 expression. PD-L1 was assessed using the 22C3 antibody and quantified with a modified proportion score (MPS), which considered both PD-L1–positive mononuclear inflammatory cells (including macrophages and lymphocytes) and tumor cells. No significant differences in TMDD, PFS, or OS were observed between patients with PD-L1 MPS &lt;1% and those with MPS ≥1%, suggesting that PD-L1 expression may not serve as a predictive biomarker for treatment efficacy in this setting. However, the relatively small sample size and the lack of extensive clinical validation of the MPS methodology represent important limitations. Consequently, the predictive role of PD-L1 expression in this context remains inconclusive and warrants further investigation (Durm et al., 2020).</w:t>
      </w:r>
    </w:p>
    <w:p w14:paraId="25237F73">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 xml:space="preserve">Immunotherapy has redefined the treatment paradigm for </w:t>
      </w:r>
      <w:r>
        <w:rPr>
          <w:rFonts w:ascii="Times New Roman" w:hAnsi="Times New Roman" w:cs="Times New Roman"/>
          <w:sz w:val="24"/>
          <w:lang w:val="en-US"/>
        </w:rPr>
        <w:t xml:space="preserve">stage III </w:t>
      </w:r>
      <w:r>
        <w:rPr>
          <w:rFonts w:ascii="Times New Roman" w:hAnsi="Times New Roman" w:cs="Times New Roman"/>
          <w:sz w:val="24"/>
        </w:rPr>
        <w:t>NSCLC following cCRT, yet optimization of therapeutic strategies remains necessary. PACIFIC-2, a randomized, double-blind, placebo-controlled, multicenter phase III trial, evaluated durvalumab in combination with platinum-based CRT versus CRT alone in patients with unresectable stage III NSCLC. On November 14, 2023, AstraZeneca announced the latest results of PACIFIC-2, reporting that the trial did not meet its primary endpoint of PFS with statistical significance. Ongoing phase III research is focusing on three major directions: a. Expanding the population of patients who may benefit, including those receiving sequential CRT. b. Advancing the timing of immunotherapy initiation. c. Developing novel combination regimens to further intensify treatment.</w:t>
      </w:r>
    </w:p>
    <w:p w14:paraId="3CCFF3EB">
      <w:pPr>
        <w:spacing w:before="156" w:beforeLines="50" w:line="360" w:lineRule="auto"/>
        <w:ind w:firstLine="420" w:firstLineChars="200"/>
        <w:rPr>
          <w:rFonts w:ascii="Times New Roman" w:hAnsi="Times New Roman" w:cs="Times New Roman"/>
          <w:b/>
          <w:bCs/>
          <w:szCs w:val="21"/>
        </w:rPr>
      </w:pPr>
      <w:r>
        <w:rPr>
          <w:rFonts w:ascii="Times New Roman" w:hAnsi="Times New Roman" w:cs="Times New Roman"/>
          <w:b/>
          <w:bCs/>
          <w:szCs w:val="21"/>
        </w:rPr>
        <w:t>Table 1. Ongoing Phase III Clinical Studies of Immunotherapy Combined with cCRT in</w:t>
      </w:r>
      <w:r>
        <w:rPr>
          <w:rFonts w:hint="eastAsia" w:ascii="Times New Roman" w:hAnsi="Times New Roman" w:cs="Times New Roman"/>
          <w:b/>
          <w:bCs/>
          <w:szCs w:val="21"/>
        </w:rPr>
        <w:t xml:space="preserve"> unresectable stage III NSCLC</w:t>
      </w:r>
    </w:p>
    <w:tbl>
      <w:tblPr>
        <w:tblStyle w:val="15"/>
        <w:tblW w:w="8560" w:type="dxa"/>
        <w:jc w:val="center"/>
        <w:tblLayout w:type="autofit"/>
        <w:tblCellMar>
          <w:top w:w="0" w:type="dxa"/>
          <w:left w:w="108" w:type="dxa"/>
          <w:bottom w:w="0" w:type="dxa"/>
          <w:right w:w="108" w:type="dxa"/>
        </w:tblCellMar>
      </w:tblPr>
      <w:tblGrid>
        <w:gridCol w:w="2084"/>
        <w:gridCol w:w="2790"/>
        <w:gridCol w:w="1656"/>
        <w:gridCol w:w="936"/>
        <w:gridCol w:w="1150"/>
        <w:gridCol w:w="1749"/>
        <w:gridCol w:w="1229"/>
      </w:tblGrid>
      <w:tr w14:paraId="6342344E">
        <w:trPr>
          <w:trHeight w:val="900" w:hRule="atLeast"/>
          <w:jc w:val="center"/>
        </w:trPr>
        <w:tc>
          <w:tcPr>
            <w:tcW w:w="1400" w:type="dxa"/>
            <w:tcBorders>
              <w:top w:val="single" w:color="000000" w:sz="12" w:space="0"/>
              <w:left w:val="nil"/>
              <w:bottom w:val="single" w:color="000000" w:sz="4" w:space="0"/>
              <w:right w:val="nil"/>
              <w:tl2br w:val="nil"/>
            </w:tcBorders>
            <w:shd w:val="clear" w:color="auto" w:fill="FFFFFF"/>
            <w:vAlign w:val="center"/>
          </w:tcPr>
          <w:p w14:paraId="59A1101E">
            <w:pPr>
              <w:spacing w:before="156" w:beforeLines="50" w:line="360" w:lineRule="auto"/>
              <w:rPr>
                <w:rFonts w:ascii="Times New Roman" w:hAnsi="Times New Roman" w:cs="Times New Roman"/>
                <w:sz w:val="24"/>
              </w:rPr>
            </w:pPr>
            <w:r>
              <w:rPr>
                <w:rFonts w:ascii="Times New Roman" w:hAnsi="Times New Roman" w:cs="Times New Roman"/>
                <w:sz w:val="24"/>
              </w:rPr>
              <w:t>Study Name</w:t>
            </w:r>
          </w:p>
        </w:tc>
        <w:tc>
          <w:tcPr>
            <w:tcW w:w="1599" w:type="dxa"/>
            <w:tcBorders>
              <w:top w:val="single" w:color="000000" w:sz="12" w:space="0"/>
              <w:left w:val="nil"/>
              <w:bottom w:val="single" w:color="000000" w:sz="4" w:space="0"/>
              <w:right w:val="nil"/>
            </w:tcBorders>
            <w:shd w:val="clear" w:color="auto" w:fill="FFFFFF"/>
            <w:vAlign w:val="center"/>
          </w:tcPr>
          <w:p w14:paraId="0712F705">
            <w:pPr>
              <w:spacing w:before="156" w:beforeLines="50" w:line="360" w:lineRule="auto"/>
              <w:rPr>
                <w:rFonts w:ascii="Times New Roman" w:hAnsi="Times New Roman" w:cs="Times New Roman"/>
                <w:sz w:val="24"/>
              </w:rPr>
            </w:pPr>
            <w:r>
              <w:rPr>
                <w:rFonts w:ascii="Times New Roman" w:hAnsi="Times New Roman" w:cs="Times New Roman"/>
                <w:sz w:val="24"/>
              </w:rPr>
              <w:t>Experimental Drugs</w:t>
            </w:r>
          </w:p>
        </w:tc>
        <w:tc>
          <w:tcPr>
            <w:tcW w:w="1183" w:type="dxa"/>
            <w:tcBorders>
              <w:top w:val="single" w:color="000000" w:sz="12" w:space="0"/>
              <w:left w:val="nil"/>
              <w:bottom w:val="single" w:color="000000" w:sz="4" w:space="0"/>
              <w:right w:val="nil"/>
            </w:tcBorders>
            <w:shd w:val="clear" w:color="auto" w:fill="FFFFFF"/>
            <w:vAlign w:val="center"/>
          </w:tcPr>
          <w:p w14:paraId="47EF8030">
            <w:pPr>
              <w:spacing w:before="156" w:beforeLines="50" w:line="360" w:lineRule="auto"/>
              <w:rPr>
                <w:rFonts w:ascii="Times New Roman" w:hAnsi="Times New Roman" w:cs="Times New Roman"/>
                <w:sz w:val="24"/>
              </w:rPr>
            </w:pPr>
            <w:r>
              <w:rPr>
                <w:rFonts w:ascii="Times New Roman" w:hAnsi="Times New Roman" w:cs="Times New Roman"/>
                <w:sz w:val="24"/>
              </w:rPr>
              <w:t>Registration Number</w:t>
            </w:r>
          </w:p>
        </w:tc>
        <w:tc>
          <w:tcPr>
            <w:tcW w:w="733" w:type="dxa"/>
            <w:tcBorders>
              <w:top w:val="single" w:color="000000" w:sz="12" w:space="0"/>
              <w:left w:val="nil"/>
              <w:bottom w:val="single" w:color="000000" w:sz="4" w:space="0"/>
              <w:right w:val="nil"/>
            </w:tcBorders>
            <w:shd w:val="clear" w:color="auto" w:fill="FFFFFF"/>
            <w:vAlign w:val="center"/>
          </w:tcPr>
          <w:p w14:paraId="3FB9216D">
            <w:pPr>
              <w:spacing w:before="156" w:beforeLines="50" w:line="360" w:lineRule="auto"/>
              <w:rPr>
                <w:rFonts w:ascii="Times New Roman" w:hAnsi="Times New Roman" w:cs="Times New Roman"/>
                <w:sz w:val="24"/>
              </w:rPr>
            </w:pPr>
            <w:r>
              <w:rPr>
                <w:rFonts w:ascii="Times New Roman" w:hAnsi="Times New Roman" w:cs="Times New Roman"/>
                <w:sz w:val="24"/>
              </w:rPr>
              <w:t>Sample Size</w:t>
            </w:r>
          </w:p>
        </w:tc>
        <w:tc>
          <w:tcPr>
            <w:tcW w:w="883" w:type="dxa"/>
            <w:tcBorders>
              <w:top w:val="single" w:color="000000" w:sz="12" w:space="0"/>
              <w:left w:val="nil"/>
              <w:bottom w:val="single" w:color="000000" w:sz="4" w:space="0"/>
              <w:right w:val="nil"/>
            </w:tcBorders>
            <w:shd w:val="clear" w:color="auto" w:fill="FFFFFF"/>
            <w:vAlign w:val="center"/>
          </w:tcPr>
          <w:p w14:paraId="1824C75D">
            <w:pPr>
              <w:spacing w:before="156" w:beforeLines="50" w:line="360" w:lineRule="auto"/>
              <w:rPr>
                <w:rFonts w:ascii="Times New Roman" w:hAnsi="Times New Roman" w:cs="Times New Roman"/>
                <w:sz w:val="24"/>
              </w:rPr>
            </w:pPr>
            <w:r>
              <w:rPr>
                <w:rFonts w:ascii="Times New Roman" w:hAnsi="Times New Roman" w:cs="Times New Roman"/>
                <w:sz w:val="24"/>
              </w:rPr>
              <w:t>Radiation Modality</w:t>
            </w:r>
          </w:p>
        </w:tc>
        <w:tc>
          <w:tcPr>
            <w:tcW w:w="1283" w:type="dxa"/>
            <w:tcBorders>
              <w:top w:val="single" w:color="000000" w:sz="12" w:space="0"/>
              <w:left w:val="nil"/>
              <w:bottom w:val="single" w:color="000000" w:sz="4" w:space="0"/>
              <w:right w:val="nil"/>
            </w:tcBorders>
            <w:shd w:val="clear" w:color="auto" w:fill="FFFFFF"/>
            <w:vAlign w:val="center"/>
          </w:tcPr>
          <w:p w14:paraId="61CDEE61">
            <w:pPr>
              <w:spacing w:before="156" w:beforeLines="50" w:line="360" w:lineRule="auto"/>
              <w:rPr>
                <w:rFonts w:ascii="Times New Roman" w:hAnsi="Times New Roman" w:cs="Times New Roman"/>
                <w:sz w:val="24"/>
              </w:rPr>
            </w:pPr>
            <w:r>
              <w:rPr>
                <w:rFonts w:ascii="Times New Roman" w:hAnsi="Times New Roman" w:cs="Times New Roman"/>
                <w:sz w:val="24"/>
              </w:rPr>
              <w:t>Immunotherapy Timing</w:t>
            </w:r>
          </w:p>
        </w:tc>
        <w:tc>
          <w:tcPr>
            <w:tcW w:w="1483" w:type="dxa"/>
            <w:tcBorders>
              <w:top w:val="single" w:color="000000" w:sz="12" w:space="0"/>
              <w:left w:val="nil"/>
              <w:bottom w:val="single" w:color="000000" w:sz="4" w:space="0"/>
              <w:right w:val="nil"/>
            </w:tcBorders>
            <w:shd w:val="clear" w:color="auto" w:fill="FFFFFF"/>
            <w:vAlign w:val="center"/>
          </w:tcPr>
          <w:p w14:paraId="17E6014C">
            <w:pPr>
              <w:spacing w:before="156" w:beforeLines="50" w:line="360" w:lineRule="auto"/>
              <w:rPr>
                <w:rFonts w:ascii="Times New Roman" w:hAnsi="Times New Roman" w:cs="Times New Roman"/>
                <w:sz w:val="24"/>
              </w:rPr>
            </w:pPr>
            <w:r>
              <w:rPr>
                <w:rFonts w:ascii="Times New Roman" w:hAnsi="Times New Roman" w:cs="Times New Roman"/>
                <w:sz w:val="24"/>
              </w:rPr>
              <w:t>Estimated Primary Endpoint Time</w:t>
            </w:r>
          </w:p>
        </w:tc>
      </w:tr>
      <w:tr w14:paraId="4545A505">
        <w:trPr>
          <w:trHeight w:val="272" w:hRule="atLeast"/>
          <w:jc w:val="center"/>
        </w:trPr>
        <w:tc>
          <w:tcPr>
            <w:tcW w:w="8564" w:type="dxa"/>
            <w:gridSpan w:val="7"/>
            <w:tcBorders>
              <w:top w:val="single" w:color="000000" w:sz="4" w:space="0"/>
              <w:left w:val="nil"/>
              <w:bottom w:val="nil"/>
              <w:right w:val="nil"/>
            </w:tcBorders>
            <w:shd w:val="clear" w:color="auto" w:fill="FFFFFF"/>
            <w:vAlign w:val="center"/>
          </w:tcPr>
          <w:p w14:paraId="1488A498">
            <w:pPr>
              <w:spacing w:before="156" w:beforeLines="50" w:line="360" w:lineRule="auto"/>
              <w:rPr>
                <w:rFonts w:ascii="Times New Roman" w:hAnsi="Times New Roman" w:cs="Times New Roman"/>
                <w:sz w:val="24"/>
              </w:rPr>
            </w:pPr>
            <w:r>
              <w:rPr>
                <w:rFonts w:ascii="Times New Roman" w:hAnsi="Times New Roman" w:cs="Times New Roman"/>
                <w:sz w:val="24"/>
              </w:rPr>
              <w:t>1. Expanding Beneficiary Population</w:t>
            </w:r>
          </w:p>
        </w:tc>
      </w:tr>
      <w:tr w14:paraId="30705EB1">
        <w:trPr>
          <w:trHeight w:val="280" w:hRule="atLeast"/>
          <w:jc w:val="center"/>
        </w:trPr>
        <w:tc>
          <w:tcPr>
            <w:tcW w:w="1400" w:type="dxa"/>
            <w:tcBorders>
              <w:top w:val="nil"/>
              <w:left w:val="nil"/>
              <w:bottom w:val="nil"/>
              <w:right w:val="nil"/>
            </w:tcBorders>
            <w:shd w:val="clear" w:color="auto" w:fill="FFFFFF"/>
            <w:vAlign w:val="center"/>
          </w:tcPr>
          <w:p w14:paraId="0C087C1D">
            <w:pPr>
              <w:spacing w:before="156" w:beforeLines="50" w:line="360" w:lineRule="auto"/>
              <w:rPr>
                <w:rFonts w:ascii="Times New Roman" w:hAnsi="Times New Roman" w:cs="Times New Roman"/>
                <w:sz w:val="24"/>
              </w:rPr>
            </w:pPr>
            <w:r>
              <w:rPr>
                <w:rFonts w:ascii="Times New Roman" w:hAnsi="Times New Roman" w:cs="Times New Roman"/>
                <w:sz w:val="24"/>
              </w:rPr>
              <w:t>PACIFIC-5</w:t>
            </w:r>
          </w:p>
        </w:tc>
        <w:tc>
          <w:tcPr>
            <w:tcW w:w="1599" w:type="dxa"/>
            <w:tcBorders>
              <w:top w:val="nil"/>
              <w:left w:val="nil"/>
              <w:bottom w:val="nil"/>
              <w:right w:val="nil"/>
            </w:tcBorders>
            <w:shd w:val="clear" w:color="auto" w:fill="FFFFFF"/>
            <w:vAlign w:val="center"/>
          </w:tcPr>
          <w:p w14:paraId="0975A3D4">
            <w:pPr>
              <w:spacing w:before="156" w:beforeLines="50" w:line="360" w:lineRule="auto"/>
              <w:rPr>
                <w:rFonts w:ascii="Times New Roman" w:hAnsi="Times New Roman" w:cs="Times New Roman"/>
                <w:sz w:val="24"/>
              </w:rPr>
            </w:pPr>
            <w:r>
              <w:rPr>
                <w:rFonts w:ascii="Times New Roman" w:hAnsi="Times New Roman" w:cs="Times New Roman"/>
                <w:sz w:val="24"/>
              </w:rPr>
              <w:t>Durva</w:t>
            </w:r>
          </w:p>
        </w:tc>
        <w:tc>
          <w:tcPr>
            <w:tcW w:w="1183" w:type="dxa"/>
            <w:tcBorders>
              <w:top w:val="nil"/>
              <w:left w:val="nil"/>
              <w:bottom w:val="nil"/>
              <w:right w:val="nil"/>
            </w:tcBorders>
            <w:shd w:val="clear" w:color="auto" w:fill="FFFFFF"/>
            <w:vAlign w:val="center"/>
          </w:tcPr>
          <w:p w14:paraId="692DB5FC">
            <w:pPr>
              <w:spacing w:before="156" w:beforeLines="50" w:line="360" w:lineRule="auto"/>
              <w:rPr>
                <w:rFonts w:ascii="Times New Roman" w:hAnsi="Times New Roman" w:cs="Times New Roman"/>
                <w:sz w:val="24"/>
              </w:rPr>
            </w:pPr>
            <w:r>
              <w:rPr>
                <w:rFonts w:ascii="Times New Roman" w:hAnsi="Times New Roman" w:cs="Times New Roman"/>
                <w:sz w:val="24"/>
              </w:rPr>
              <w:t>NCT03706690</w:t>
            </w:r>
          </w:p>
        </w:tc>
        <w:tc>
          <w:tcPr>
            <w:tcW w:w="733" w:type="dxa"/>
            <w:tcBorders>
              <w:top w:val="nil"/>
              <w:left w:val="nil"/>
              <w:bottom w:val="nil"/>
              <w:right w:val="nil"/>
            </w:tcBorders>
            <w:shd w:val="clear" w:color="auto" w:fill="FFFFFF"/>
            <w:vAlign w:val="center"/>
          </w:tcPr>
          <w:p w14:paraId="34C1FA9F">
            <w:pPr>
              <w:spacing w:before="156" w:beforeLines="50" w:line="360" w:lineRule="auto"/>
              <w:rPr>
                <w:rFonts w:ascii="Times New Roman" w:hAnsi="Times New Roman" w:cs="Times New Roman"/>
                <w:sz w:val="24"/>
              </w:rPr>
            </w:pPr>
            <w:r>
              <w:rPr>
                <w:rFonts w:ascii="Times New Roman" w:hAnsi="Times New Roman" w:cs="Times New Roman"/>
                <w:sz w:val="24"/>
              </w:rPr>
              <w:t>360</w:t>
            </w:r>
          </w:p>
        </w:tc>
        <w:tc>
          <w:tcPr>
            <w:tcW w:w="883" w:type="dxa"/>
            <w:tcBorders>
              <w:top w:val="nil"/>
              <w:left w:val="nil"/>
              <w:bottom w:val="nil"/>
              <w:right w:val="nil"/>
            </w:tcBorders>
            <w:shd w:val="clear" w:color="auto" w:fill="FFFFFF"/>
            <w:vAlign w:val="center"/>
          </w:tcPr>
          <w:p w14:paraId="2DB1B358">
            <w:pPr>
              <w:spacing w:before="156" w:beforeLines="50" w:line="360" w:lineRule="auto"/>
              <w:rPr>
                <w:rFonts w:ascii="Times New Roman" w:hAnsi="Times New Roman" w:cs="Times New Roman"/>
                <w:sz w:val="24"/>
              </w:rPr>
            </w:pPr>
            <w:r>
              <w:rPr>
                <w:rFonts w:ascii="Times New Roman" w:hAnsi="Times New Roman" w:cs="Times New Roman"/>
                <w:sz w:val="24"/>
              </w:rPr>
              <w:t>s/c CRT</w:t>
            </w:r>
          </w:p>
        </w:tc>
        <w:tc>
          <w:tcPr>
            <w:tcW w:w="1283" w:type="dxa"/>
            <w:tcBorders>
              <w:top w:val="nil"/>
              <w:left w:val="nil"/>
              <w:bottom w:val="nil"/>
              <w:right w:val="nil"/>
            </w:tcBorders>
            <w:shd w:val="clear" w:color="auto" w:fill="FFFFFF"/>
            <w:vAlign w:val="center"/>
          </w:tcPr>
          <w:p w14:paraId="0CAE8D55">
            <w:pPr>
              <w:spacing w:before="156" w:beforeLines="50" w:line="360" w:lineRule="auto"/>
              <w:rPr>
                <w:rFonts w:ascii="Times New Roman" w:hAnsi="Times New Roman" w:cs="Times New Roman"/>
                <w:sz w:val="24"/>
              </w:rPr>
            </w:pPr>
            <w:r>
              <w:rPr>
                <w:rFonts w:ascii="Times New Roman" w:hAnsi="Times New Roman" w:cs="Times New Roman"/>
                <w:sz w:val="24"/>
              </w:rPr>
              <w:t>Consolidation</w:t>
            </w:r>
          </w:p>
        </w:tc>
        <w:tc>
          <w:tcPr>
            <w:tcW w:w="1483" w:type="dxa"/>
            <w:tcBorders>
              <w:top w:val="nil"/>
              <w:left w:val="nil"/>
              <w:bottom w:val="nil"/>
              <w:right w:val="nil"/>
            </w:tcBorders>
            <w:shd w:val="clear" w:color="auto" w:fill="FFFFFF"/>
            <w:vAlign w:val="center"/>
          </w:tcPr>
          <w:p w14:paraId="1114E4D4">
            <w:pPr>
              <w:spacing w:before="156" w:beforeLines="50" w:line="360" w:lineRule="auto"/>
              <w:rPr>
                <w:rFonts w:ascii="Times New Roman" w:hAnsi="Times New Roman" w:cs="Times New Roman"/>
                <w:sz w:val="24"/>
              </w:rPr>
            </w:pPr>
            <w:r>
              <w:rPr>
                <w:rFonts w:ascii="Times New Roman" w:hAnsi="Times New Roman" w:cs="Times New Roman"/>
                <w:sz w:val="24"/>
              </w:rPr>
              <w:t>2024/6/1</w:t>
            </w:r>
          </w:p>
        </w:tc>
      </w:tr>
      <w:tr w14:paraId="212B8A7C">
        <w:trPr>
          <w:trHeight w:val="272" w:hRule="atLeast"/>
          <w:jc w:val="center"/>
        </w:trPr>
        <w:tc>
          <w:tcPr>
            <w:tcW w:w="8564" w:type="dxa"/>
            <w:gridSpan w:val="7"/>
            <w:tcBorders>
              <w:top w:val="nil"/>
              <w:left w:val="nil"/>
              <w:bottom w:val="nil"/>
              <w:right w:val="nil"/>
            </w:tcBorders>
            <w:shd w:val="clear" w:color="auto" w:fill="FFFFFF"/>
            <w:vAlign w:val="center"/>
          </w:tcPr>
          <w:p w14:paraId="723BE028">
            <w:pPr>
              <w:spacing w:before="156" w:beforeLines="50" w:line="360" w:lineRule="auto"/>
              <w:rPr>
                <w:rFonts w:ascii="Times New Roman" w:hAnsi="Times New Roman" w:cs="Times New Roman"/>
                <w:sz w:val="24"/>
              </w:rPr>
            </w:pPr>
            <w:r>
              <w:rPr>
                <w:rFonts w:ascii="Times New Roman" w:hAnsi="Times New Roman" w:cs="Times New Roman"/>
                <w:sz w:val="24"/>
              </w:rPr>
              <w:t>2. Advancing Immunotherapy Timing</w:t>
            </w:r>
          </w:p>
        </w:tc>
      </w:tr>
      <w:tr w14:paraId="551FB24D">
        <w:trPr>
          <w:trHeight w:val="560" w:hRule="atLeast"/>
          <w:jc w:val="center"/>
        </w:trPr>
        <w:tc>
          <w:tcPr>
            <w:tcW w:w="1400" w:type="dxa"/>
            <w:tcBorders>
              <w:top w:val="nil"/>
              <w:left w:val="nil"/>
              <w:bottom w:val="nil"/>
              <w:right w:val="nil"/>
            </w:tcBorders>
            <w:shd w:val="clear" w:color="auto" w:fill="FFFFFF"/>
            <w:vAlign w:val="center"/>
          </w:tcPr>
          <w:p w14:paraId="5220B07A">
            <w:pPr>
              <w:spacing w:before="156" w:beforeLines="50" w:line="360" w:lineRule="auto"/>
              <w:rPr>
                <w:rFonts w:ascii="Times New Roman" w:hAnsi="Times New Roman" w:cs="Times New Roman"/>
                <w:sz w:val="24"/>
              </w:rPr>
            </w:pPr>
            <w:r>
              <w:rPr>
                <w:rFonts w:ascii="Times New Roman" w:hAnsi="Times New Roman" w:cs="Times New Roman"/>
                <w:sz w:val="24"/>
              </w:rPr>
              <w:t>ECOG-EA5181</w:t>
            </w:r>
          </w:p>
        </w:tc>
        <w:tc>
          <w:tcPr>
            <w:tcW w:w="1599" w:type="dxa"/>
            <w:tcBorders>
              <w:top w:val="nil"/>
              <w:left w:val="nil"/>
              <w:bottom w:val="nil"/>
              <w:right w:val="nil"/>
            </w:tcBorders>
            <w:shd w:val="clear" w:color="auto" w:fill="FFFFFF"/>
            <w:vAlign w:val="center"/>
          </w:tcPr>
          <w:p w14:paraId="5011313A">
            <w:pPr>
              <w:spacing w:before="156" w:beforeLines="50" w:line="360" w:lineRule="auto"/>
              <w:rPr>
                <w:rFonts w:ascii="Times New Roman" w:hAnsi="Times New Roman" w:cs="Times New Roman"/>
                <w:sz w:val="24"/>
              </w:rPr>
            </w:pPr>
            <w:r>
              <w:rPr>
                <w:rFonts w:ascii="Times New Roman" w:hAnsi="Times New Roman" w:cs="Times New Roman"/>
                <w:sz w:val="24"/>
              </w:rPr>
              <w:t>Atezo</w:t>
            </w:r>
          </w:p>
        </w:tc>
        <w:tc>
          <w:tcPr>
            <w:tcW w:w="1183" w:type="dxa"/>
            <w:tcBorders>
              <w:top w:val="nil"/>
              <w:left w:val="nil"/>
              <w:bottom w:val="nil"/>
              <w:right w:val="nil"/>
            </w:tcBorders>
            <w:shd w:val="clear" w:color="auto" w:fill="FFFFFF"/>
            <w:vAlign w:val="center"/>
          </w:tcPr>
          <w:p w14:paraId="2DFA562E">
            <w:pPr>
              <w:spacing w:before="156" w:beforeLines="50" w:line="360" w:lineRule="auto"/>
              <w:rPr>
                <w:rFonts w:ascii="Times New Roman" w:hAnsi="Times New Roman" w:cs="Times New Roman"/>
                <w:sz w:val="24"/>
              </w:rPr>
            </w:pPr>
            <w:r>
              <w:rPr>
                <w:rFonts w:ascii="Times New Roman" w:hAnsi="Times New Roman" w:cs="Times New Roman"/>
                <w:sz w:val="24"/>
              </w:rPr>
              <w:t>NCT04092283</w:t>
            </w:r>
          </w:p>
        </w:tc>
        <w:tc>
          <w:tcPr>
            <w:tcW w:w="733" w:type="dxa"/>
            <w:tcBorders>
              <w:top w:val="nil"/>
              <w:left w:val="nil"/>
              <w:bottom w:val="nil"/>
              <w:right w:val="nil"/>
            </w:tcBorders>
            <w:shd w:val="clear" w:color="auto" w:fill="FFFFFF"/>
            <w:vAlign w:val="center"/>
          </w:tcPr>
          <w:p w14:paraId="2C2991D6">
            <w:pPr>
              <w:spacing w:before="156" w:beforeLines="50" w:line="360" w:lineRule="auto"/>
              <w:rPr>
                <w:rFonts w:ascii="Times New Roman" w:hAnsi="Times New Roman" w:cs="Times New Roman"/>
                <w:sz w:val="24"/>
              </w:rPr>
            </w:pPr>
            <w:r>
              <w:rPr>
                <w:rFonts w:ascii="Times New Roman" w:hAnsi="Times New Roman" w:cs="Times New Roman"/>
                <w:sz w:val="24"/>
              </w:rPr>
              <w:t>660</w:t>
            </w:r>
          </w:p>
        </w:tc>
        <w:tc>
          <w:tcPr>
            <w:tcW w:w="883" w:type="dxa"/>
            <w:tcBorders>
              <w:top w:val="nil"/>
              <w:left w:val="nil"/>
              <w:bottom w:val="nil"/>
              <w:right w:val="nil"/>
            </w:tcBorders>
            <w:shd w:val="clear" w:color="auto" w:fill="FFFFFF"/>
            <w:vAlign w:val="center"/>
          </w:tcPr>
          <w:p w14:paraId="40976258">
            <w:pPr>
              <w:spacing w:before="156" w:beforeLines="50" w:line="360" w:lineRule="auto"/>
              <w:rPr>
                <w:rFonts w:ascii="Times New Roman" w:hAnsi="Times New Roman" w:cs="Times New Roman"/>
                <w:sz w:val="24"/>
              </w:rPr>
            </w:pPr>
            <w:r>
              <w:rPr>
                <w:rFonts w:ascii="Times New Roman" w:hAnsi="Times New Roman" w:cs="Times New Roman"/>
                <w:sz w:val="24"/>
              </w:rPr>
              <w:t>cCRT</w:t>
            </w:r>
          </w:p>
        </w:tc>
        <w:tc>
          <w:tcPr>
            <w:tcW w:w="1283" w:type="dxa"/>
            <w:tcBorders>
              <w:top w:val="nil"/>
              <w:left w:val="nil"/>
              <w:bottom w:val="nil"/>
              <w:right w:val="nil"/>
            </w:tcBorders>
            <w:shd w:val="clear" w:color="auto" w:fill="FFFFFF"/>
            <w:vAlign w:val="center"/>
          </w:tcPr>
          <w:p w14:paraId="05C37CF0">
            <w:pPr>
              <w:spacing w:before="156" w:beforeLines="50" w:line="360" w:lineRule="auto"/>
              <w:rPr>
                <w:rFonts w:ascii="Times New Roman" w:hAnsi="Times New Roman" w:cs="Times New Roman"/>
                <w:sz w:val="24"/>
              </w:rPr>
            </w:pPr>
            <w:r>
              <w:rPr>
                <w:rFonts w:ascii="Times New Roman" w:hAnsi="Times New Roman" w:cs="Times New Roman"/>
                <w:sz w:val="24"/>
              </w:rPr>
              <w:t>Concurrent + Consolidation</w:t>
            </w:r>
          </w:p>
        </w:tc>
        <w:tc>
          <w:tcPr>
            <w:tcW w:w="1483" w:type="dxa"/>
            <w:tcBorders>
              <w:top w:val="nil"/>
              <w:left w:val="nil"/>
              <w:bottom w:val="nil"/>
              <w:right w:val="nil"/>
            </w:tcBorders>
            <w:shd w:val="clear" w:color="auto" w:fill="FFFFFF"/>
            <w:vAlign w:val="center"/>
          </w:tcPr>
          <w:p w14:paraId="079702AB">
            <w:pPr>
              <w:spacing w:before="156" w:beforeLines="50" w:line="360" w:lineRule="auto"/>
              <w:rPr>
                <w:rFonts w:ascii="Times New Roman" w:hAnsi="Times New Roman" w:cs="Times New Roman"/>
                <w:sz w:val="24"/>
              </w:rPr>
            </w:pPr>
            <w:r>
              <w:rPr>
                <w:rFonts w:ascii="Times New Roman" w:hAnsi="Times New Roman" w:cs="Times New Roman"/>
                <w:sz w:val="24"/>
              </w:rPr>
              <w:t>2028/12/1</w:t>
            </w:r>
          </w:p>
        </w:tc>
      </w:tr>
      <w:tr w14:paraId="2BF5F486">
        <w:trPr>
          <w:trHeight w:val="272" w:hRule="atLeast"/>
          <w:jc w:val="center"/>
        </w:trPr>
        <w:tc>
          <w:tcPr>
            <w:tcW w:w="8564" w:type="dxa"/>
            <w:gridSpan w:val="7"/>
            <w:tcBorders>
              <w:top w:val="nil"/>
              <w:left w:val="nil"/>
              <w:bottom w:val="nil"/>
              <w:right w:val="nil"/>
            </w:tcBorders>
            <w:shd w:val="clear" w:color="auto" w:fill="FFFFFF"/>
            <w:vAlign w:val="center"/>
          </w:tcPr>
          <w:p w14:paraId="07033FE5">
            <w:pPr>
              <w:spacing w:before="156" w:beforeLines="50" w:line="360" w:lineRule="auto"/>
              <w:rPr>
                <w:rFonts w:ascii="Times New Roman" w:hAnsi="Times New Roman" w:cs="Times New Roman"/>
                <w:sz w:val="24"/>
              </w:rPr>
            </w:pPr>
            <w:r>
              <w:rPr>
                <w:rFonts w:ascii="Times New Roman" w:hAnsi="Times New Roman" w:cs="Times New Roman"/>
                <w:sz w:val="24"/>
              </w:rPr>
              <w:t>3. New Combination Regimens for Treatment Intensification</w:t>
            </w:r>
          </w:p>
        </w:tc>
      </w:tr>
      <w:tr w14:paraId="3D4E6B67">
        <w:trPr>
          <w:trHeight w:val="560" w:hRule="atLeast"/>
          <w:jc w:val="center"/>
        </w:trPr>
        <w:tc>
          <w:tcPr>
            <w:tcW w:w="1400" w:type="dxa"/>
            <w:tcBorders>
              <w:top w:val="nil"/>
              <w:left w:val="nil"/>
              <w:bottom w:val="nil"/>
              <w:right w:val="nil"/>
            </w:tcBorders>
            <w:shd w:val="clear" w:color="auto" w:fill="FFFFFF"/>
            <w:vAlign w:val="center"/>
          </w:tcPr>
          <w:p w14:paraId="0F86FE62">
            <w:pPr>
              <w:spacing w:before="156" w:beforeLines="50" w:line="360" w:lineRule="auto"/>
              <w:rPr>
                <w:rFonts w:ascii="Times New Roman" w:hAnsi="Times New Roman" w:cs="Times New Roman"/>
                <w:sz w:val="24"/>
              </w:rPr>
            </w:pPr>
            <w:r>
              <w:rPr>
                <w:rFonts w:ascii="Times New Roman" w:hAnsi="Times New Roman" w:cs="Times New Roman"/>
                <w:sz w:val="24"/>
              </w:rPr>
              <w:t>KEYLYNK-012</w:t>
            </w:r>
          </w:p>
        </w:tc>
        <w:tc>
          <w:tcPr>
            <w:tcW w:w="1599" w:type="dxa"/>
            <w:tcBorders>
              <w:top w:val="nil"/>
              <w:left w:val="nil"/>
              <w:bottom w:val="nil"/>
              <w:right w:val="nil"/>
            </w:tcBorders>
            <w:shd w:val="clear" w:color="auto" w:fill="FFFFFF"/>
            <w:vAlign w:val="center"/>
          </w:tcPr>
          <w:p w14:paraId="6152A56E">
            <w:pPr>
              <w:spacing w:before="156" w:beforeLines="50" w:line="360" w:lineRule="auto"/>
              <w:rPr>
                <w:rFonts w:ascii="Times New Roman" w:hAnsi="Times New Roman" w:cs="Times New Roman"/>
                <w:sz w:val="24"/>
              </w:rPr>
            </w:pPr>
            <w:r>
              <w:rPr>
                <w:rFonts w:ascii="Times New Roman" w:hAnsi="Times New Roman" w:cs="Times New Roman"/>
                <w:sz w:val="24"/>
              </w:rPr>
              <w:t>Pembro +cCRT→Pembro±PARPi</w:t>
            </w:r>
          </w:p>
        </w:tc>
        <w:tc>
          <w:tcPr>
            <w:tcW w:w="1183" w:type="dxa"/>
            <w:tcBorders>
              <w:top w:val="nil"/>
              <w:left w:val="nil"/>
              <w:bottom w:val="nil"/>
              <w:right w:val="nil"/>
            </w:tcBorders>
            <w:shd w:val="clear" w:color="auto" w:fill="FFFFFF"/>
            <w:vAlign w:val="center"/>
          </w:tcPr>
          <w:p w14:paraId="2BE142BE">
            <w:pPr>
              <w:spacing w:before="156" w:beforeLines="50" w:line="360" w:lineRule="auto"/>
              <w:rPr>
                <w:rFonts w:ascii="Times New Roman" w:hAnsi="Times New Roman" w:cs="Times New Roman"/>
                <w:sz w:val="24"/>
              </w:rPr>
            </w:pPr>
            <w:r>
              <w:rPr>
                <w:rFonts w:ascii="Times New Roman" w:hAnsi="Times New Roman" w:cs="Times New Roman"/>
                <w:sz w:val="24"/>
              </w:rPr>
              <w:t>NCT04380636</w:t>
            </w:r>
          </w:p>
        </w:tc>
        <w:tc>
          <w:tcPr>
            <w:tcW w:w="733" w:type="dxa"/>
            <w:tcBorders>
              <w:top w:val="nil"/>
              <w:left w:val="nil"/>
              <w:bottom w:val="nil"/>
              <w:right w:val="nil"/>
            </w:tcBorders>
            <w:shd w:val="clear" w:color="auto" w:fill="FFFFFF"/>
            <w:vAlign w:val="center"/>
          </w:tcPr>
          <w:p w14:paraId="4DC03FA1">
            <w:pPr>
              <w:spacing w:before="156" w:beforeLines="50" w:line="360" w:lineRule="auto"/>
              <w:rPr>
                <w:rFonts w:ascii="Times New Roman" w:hAnsi="Times New Roman" w:cs="Times New Roman"/>
                <w:sz w:val="24"/>
              </w:rPr>
            </w:pPr>
            <w:r>
              <w:rPr>
                <w:rFonts w:ascii="Times New Roman" w:hAnsi="Times New Roman" w:cs="Times New Roman"/>
                <w:sz w:val="24"/>
              </w:rPr>
              <w:t>870</w:t>
            </w:r>
          </w:p>
        </w:tc>
        <w:tc>
          <w:tcPr>
            <w:tcW w:w="883" w:type="dxa"/>
            <w:tcBorders>
              <w:top w:val="nil"/>
              <w:left w:val="nil"/>
              <w:bottom w:val="nil"/>
              <w:right w:val="nil"/>
            </w:tcBorders>
            <w:shd w:val="clear" w:color="auto" w:fill="FFFFFF"/>
            <w:vAlign w:val="center"/>
          </w:tcPr>
          <w:p w14:paraId="270E8644">
            <w:pPr>
              <w:spacing w:before="156" w:beforeLines="50" w:line="360" w:lineRule="auto"/>
              <w:rPr>
                <w:rFonts w:ascii="Times New Roman" w:hAnsi="Times New Roman" w:cs="Times New Roman"/>
                <w:sz w:val="24"/>
              </w:rPr>
            </w:pPr>
            <w:r>
              <w:rPr>
                <w:rFonts w:ascii="Times New Roman" w:hAnsi="Times New Roman" w:cs="Times New Roman"/>
                <w:sz w:val="24"/>
              </w:rPr>
              <w:t>cCRT</w:t>
            </w:r>
          </w:p>
        </w:tc>
        <w:tc>
          <w:tcPr>
            <w:tcW w:w="1283" w:type="dxa"/>
            <w:tcBorders>
              <w:top w:val="nil"/>
              <w:left w:val="nil"/>
              <w:bottom w:val="nil"/>
              <w:right w:val="nil"/>
            </w:tcBorders>
            <w:shd w:val="clear" w:color="auto" w:fill="FFFFFF"/>
            <w:vAlign w:val="center"/>
          </w:tcPr>
          <w:p w14:paraId="1597683F">
            <w:pPr>
              <w:spacing w:before="156" w:beforeLines="50" w:line="360" w:lineRule="auto"/>
              <w:rPr>
                <w:rFonts w:ascii="Times New Roman" w:hAnsi="Times New Roman" w:cs="Times New Roman"/>
                <w:sz w:val="24"/>
              </w:rPr>
            </w:pPr>
            <w:r>
              <w:rPr>
                <w:rFonts w:ascii="Times New Roman" w:hAnsi="Times New Roman" w:cs="Times New Roman"/>
                <w:sz w:val="24"/>
              </w:rPr>
              <w:t>Concurrent + Consolidation</w:t>
            </w:r>
          </w:p>
        </w:tc>
        <w:tc>
          <w:tcPr>
            <w:tcW w:w="1483" w:type="dxa"/>
            <w:tcBorders>
              <w:top w:val="nil"/>
              <w:left w:val="nil"/>
              <w:bottom w:val="nil"/>
              <w:right w:val="nil"/>
            </w:tcBorders>
            <w:shd w:val="clear" w:color="auto" w:fill="FFFFFF"/>
            <w:vAlign w:val="center"/>
          </w:tcPr>
          <w:p w14:paraId="7AE31EFD">
            <w:pPr>
              <w:spacing w:before="156" w:beforeLines="50" w:line="360" w:lineRule="auto"/>
              <w:rPr>
                <w:rFonts w:ascii="Times New Roman" w:hAnsi="Times New Roman" w:cs="Times New Roman"/>
                <w:sz w:val="24"/>
              </w:rPr>
            </w:pPr>
            <w:r>
              <w:rPr>
                <w:rFonts w:ascii="Times New Roman" w:hAnsi="Times New Roman" w:cs="Times New Roman"/>
                <w:sz w:val="24"/>
              </w:rPr>
              <w:t>2026/7/1</w:t>
            </w:r>
          </w:p>
        </w:tc>
      </w:tr>
      <w:tr w14:paraId="05C6333D">
        <w:trPr>
          <w:trHeight w:val="560" w:hRule="atLeast"/>
          <w:jc w:val="center"/>
        </w:trPr>
        <w:tc>
          <w:tcPr>
            <w:tcW w:w="1400" w:type="dxa"/>
            <w:tcBorders>
              <w:top w:val="nil"/>
              <w:left w:val="nil"/>
              <w:bottom w:val="nil"/>
              <w:right w:val="nil"/>
            </w:tcBorders>
            <w:shd w:val="clear" w:color="auto" w:fill="FFFFFF"/>
            <w:vAlign w:val="center"/>
          </w:tcPr>
          <w:p w14:paraId="08633389">
            <w:pPr>
              <w:spacing w:before="156" w:beforeLines="50" w:line="360" w:lineRule="auto"/>
              <w:rPr>
                <w:rFonts w:ascii="Times New Roman" w:hAnsi="Times New Roman" w:cs="Times New Roman"/>
                <w:sz w:val="24"/>
              </w:rPr>
            </w:pPr>
            <w:r>
              <w:rPr>
                <w:rFonts w:ascii="Times New Roman" w:hAnsi="Times New Roman" w:cs="Times New Roman"/>
                <w:sz w:val="24"/>
              </w:rPr>
              <w:t>CheckMate-73L</w:t>
            </w:r>
          </w:p>
        </w:tc>
        <w:tc>
          <w:tcPr>
            <w:tcW w:w="1599" w:type="dxa"/>
            <w:tcBorders>
              <w:top w:val="nil"/>
              <w:left w:val="nil"/>
              <w:bottom w:val="nil"/>
              <w:right w:val="nil"/>
            </w:tcBorders>
            <w:shd w:val="clear" w:color="auto" w:fill="FFFFFF"/>
            <w:vAlign w:val="center"/>
          </w:tcPr>
          <w:p w14:paraId="22006FD6">
            <w:pPr>
              <w:spacing w:before="156" w:beforeLines="50" w:line="360" w:lineRule="auto"/>
              <w:rPr>
                <w:rFonts w:ascii="Times New Roman" w:hAnsi="Times New Roman" w:cs="Times New Roman"/>
                <w:sz w:val="24"/>
              </w:rPr>
            </w:pPr>
            <w:r>
              <w:rPr>
                <w:rFonts w:ascii="Times New Roman" w:hAnsi="Times New Roman" w:cs="Times New Roman"/>
                <w:sz w:val="24"/>
              </w:rPr>
              <w:t>NIVO+cCRT→NIVO±IPI</w:t>
            </w:r>
          </w:p>
        </w:tc>
        <w:tc>
          <w:tcPr>
            <w:tcW w:w="1183" w:type="dxa"/>
            <w:tcBorders>
              <w:top w:val="nil"/>
              <w:left w:val="nil"/>
              <w:bottom w:val="nil"/>
              <w:right w:val="nil"/>
            </w:tcBorders>
            <w:shd w:val="clear" w:color="auto" w:fill="FFFFFF"/>
            <w:vAlign w:val="center"/>
          </w:tcPr>
          <w:p w14:paraId="77E59E06">
            <w:pPr>
              <w:spacing w:before="156" w:beforeLines="50" w:line="360" w:lineRule="auto"/>
              <w:rPr>
                <w:rFonts w:ascii="Times New Roman" w:hAnsi="Times New Roman" w:cs="Times New Roman"/>
                <w:sz w:val="24"/>
              </w:rPr>
            </w:pPr>
            <w:r>
              <w:rPr>
                <w:rFonts w:ascii="Times New Roman" w:hAnsi="Times New Roman" w:cs="Times New Roman"/>
                <w:sz w:val="24"/>
              </w:rPr>
              <w:t>NCT04026412</w:t>
            </w:r>
          </w:p>
        </w:tc>
        <w:tc>
          <w:tcPr>
            <w:tcW w:w="733" w:type="dxa"/>
            <w:tcBorders>
              <w:top w:val="nil"/>
              <w:left w:val="nil"/>
              <w:bottom w:val="nil"/>
              <w:right w:val="nil"/>
            </w:tcBorders>
            <w:shd w:val="clear" w:color="auto" w:fill="FFFFFF"/>
            <w:vAlign w:val="center"/>
          </w:tcPr>
          <w:p w14:paraId="45302CEE">
            <w:pPr>
              <w:spacing w:before="156" w:beforeLines="50" w:line="360" w:lineRule="auto"/>
              <w:rPr>
                <w:rFonts w:ascii="Times New Roman" w:hAnsi="Times New Roman" w:cs="Times New Roman"/>
                <w:sz w:val="24"/>
              </w:rPr>
            </w:pPr>
            <w:r>
              <w:rPr>
                <w:rFonts w:ascii="Times New Roman" w:hAnsi="Times New Roman" w:cs="Times New Roman"/>
                <w:sz w:val="24"/>
              </w:rPr>
              <w:t>1400</w:t>
            </w:r>
          </w:p>
        </w:tc>
        <w:tc>
          <w:tcPr>
            <w:tcW w:w="883" w:type="dxa"/>
            <w:tcBorders>
              <w:top w:val="nil"/>
              <w:left w:val="nil"/>
              <w:bottom w:val="nil"/>
              <w:right w:val="nil"/>
            </w:tcBorders>
            <w:shd w:val="clear" w:color="auto" w:fill="FFFFFF"/>
            <w:vAlign w:val="center"/>
          </w:tcPr>
          <w:p w14:paraId="233F45DF">
            <w:pPr>
              <w:spacing w:before="156" w:beforeLines="50" w:line="360" w:lineRule="auto"/>
              <w:rPr>
                <w:rFonts w:ascii="Times New Roman" w:hAnsi="Times New Roman" w:cs="Times New Roman"/>
                <w:sz w:val="24"/>
              </w:rPr>
            </w:pPr>
            <w:r>
              <w:rPr>
                <w:rFonts w:ascii="Times New Roman" w:hAnsi="Times New Roman" w:cs="Times New Roman"/>
                <w:sz w:val="24"/>
              </w:rPr>
              <w:t>cCRT</w:t>
            </w:r>
          </w:p>
        </w:tc>
        <w:tc>
          <w:tcPr>
            <w:tcW w:w="1283" w:type="dxa"/>
            <w:tcBorders>
              <w:top w:val="nil"/>
              <w:left w:val="nil"/>
              <w:bottom w:val="nil"/>
              <w:right w:val="nil"/>
            </w:tcBorders>
            <w:shd w:val="clear" w:color="auto" w:fill="FFFFFF"/>
            <w:vAlign w:val="center"/>
          </w:tcPr>
          <w:p w14:paraId="3E6DB302">
            <w:pPr>
              <w:spacing w:before="156" w:beforeLines="50" w:line="360" w:lineRule="auto"/>
              <w:rPr>
                <w:rFonts w:ascii="Times New Roman" w:hAnsi="Times New Roman" w:cs="Times New Roman"/>
                <w:sz w:val="24"/>
              </w:rPr>
            </w:pPr>
            <w:r>
              <w:rPr>
                <w:rFonts w:ascii="Times New Roman" w:hAnsi="Times New Roman" w:cs="Times New Roman"/>
                <w:sz w:val="24"/>
              </w:rPr>
              <w:t>Concurrent + Consolidation</w:t>
            </w:r>
          </w:p>
        </w:tc>
        <w:tc>
          <w:tcPr>
            <w:tcW w:w="1483" w:type="dxa"/>
            <w:tcBorders>
              <w:top w:val="nil"/>
              <w:left w:val="nil"/>
              <w:bottom w:val="nil"/>
              <w:right w:val="nil"/>
            </w:tcBorders>
            <w:shd w:val="clear" w:color="auto" w:fill="FFFFFF"/>
            <w:vAlign w:val="center"/>
          </w:tcPr>
          <w:p w14:paraId="330F6245">
            <w:pPr>
              <w:spacing w:before="156" w:beforeLines="50" w:line="360" w:lineRule="auto"/>
              <w:rPr>
                <w:rFonts w:ascii="Times New Roman" w:hAnsi="Times New Roman" w:cs="Times New Roman"/>
                <w:sz w:val="24"/>
              </w:rPr>
            </w:pPr>
            <w:r>
              <w:rPr>
                <w:rFonts w:ascii="Times New Roman" w:hAnsi="Times New Roman" w:cs="Times New Roman"/>
                <w:sz w:val="24"/>
              </w:rPr>
              <w:t>2025/7/1</w:t>
            </w:r>
          </w:p>
        </w:tc>
      </w:tr>
      <w:tr w14:paraId="0368BF24">
        <w:trPr>
          <w:trHeight w:val="820" w:hRule="atLeast"/>
          <w:jc w:val="center"/>
        </w:trPr>
        <w:tc>
          <w:tcPr>
            <w:tcW w:w="1400" w:type="dxa"/>
            <w:tcBorders>
              <w:top w:val="nil"/>
              <w:left w:val="nil"/>
              <w:bottom w:val="nil"/>
              <w:right w:val="nil"/>
            </w:tcBorders>
            <w:shd w:val="clear" w:color="auto" w:fill="FFFFFF"/>
            <w:vAlign w:val="center"/>
          </w:tcPr>
          <w:p w14:paraId="39757371">
            <w:pPr>
              <w:spacing w:before="156" w:beforeLines="50" w:line="360" w:lineRule="auto"/>
              <w:rPr>
                <w:rFonts w:ascii="Times New Roman" w:hAnsi="Times New Roman" w:cs="Times New Roman"/>
                <w:sz w:val="24"/>
              </w:rPr>
            </w:pPr>
            <w:r>
              <w:rPr>
                <w:rFonts w:ascii="Times New Roman" w:hAnsi="Times New Roman" w:cs="Times New Roman"/>
                <w:sz w:val="24"/>
              </w:rPr>
              <w:t>TQB2450-III-05</w:t>
            </w:r>
          </w:p>
        </w:tc>
        <w:tc>
          <w:tcPr>
            <w:tcW w:w="1599" w:type="dxa"/>
            <w:tcBorders>
              <w:top w:val="nil"/>
              <w:left w:val="nil"/>
              <w:bottom w:val="nil"/>
              <w:right w:val="nil"/>
            </w:tcBorders>
            <w:shd w:val="clear" w:color="auto" w:fill="FFFFFF"/>
            <w:vAlign w:val="center"/>
          </w:tcPr>
          <w:p w14:paraId="55407312">
            <w:pPr>
              <w:spacing w:before="156" w:beforeLines="50" w:line="360" w:lineRule="auto"/>
              <w:rPr>
                <w:rFonts w:ascii="Times New Roman" w:hAnsi="Times New Roman" w:cs="Times New Roman"/>
                <w:sz w:val="24"/>
              </w:rPr>
            </w:pPr>
            <w:r>
              <w:rPr>
                <w:rFonts w:ascii="Times New Roman" w:hAnsi="Times New Roman" w:cs="Times New Roman"/>
                <w:sz w:val="24"/>
              </w:rPr>
              <w:t>TQB2450+Anlotinib</w:t>
            </w:r>
          </w:p>
        </w:tc>
        <w:tc>
          <w:tcPr>
            <w:tcW w:w="1183" w:type="dxa"/>
            <w:tcBorders>
              <w:top w:val="nil"/>
              <w:left w:val="nil"/>
              <w:bottom w:val="nil"/>
              <w:right w:val="nil"/>
            </w:tcBorders>
            <w:shd w:val="clear" w:color="auto" w:fill="FFFFFF"/>
            <w:vAlign w:val="center"/>
          </w:tcPr>
          <w:p w14:paraId="66B66DEB">
            <w:pPr>
              <w:spacing w:before="156" w:beforeLines="50" w:line="360" w:lineRule="auto"/>
              <w:rPr>
                <w:rFonts w:ascii="Times New Roman" w:hAnsi="Times New Roman" w:cs="Times New Roman"/>
                <w:sz w:val="24"/>
              </w:rPr>
            </w:pPr>
            <w:r>
              <w:rPr>
                <w:rFonts w:ascii="Times New Roman" w:hAnsi="Times New Roman" w:cs="Times New Roman"/>
                <w:sz w:val="24"/>
              </w:rPr>
              <w:t>NCT04325763</w:t>
            </w:r>
          </w:p>
        </w:tc>
        <w:tc>
          <w:tcPr>
            <w:tcW w:w="733" w:type="dxa"/>
            <w:tcBorders>
              <w:top w:val="nil"/>
              <w:left w:val="nil"/>
              <w:bottom w:val="nil"/>
              <w:right w:val="nil"/>
            </w:tcBorders>
            <w:shd w:val="clear" w:color="auto" w:fill="FFFFFF"/>
            <w:vAlign w:val="center"/>
          </w:tcPr>
          <w:p w14:paraId="15533066">
            <w:pPr>
              <w:spacing w:before="156" w:beforeLines="50" w:line="360" w:lineRule="auto"/>
              <w:rPr>
                <w:rFonts w:ascii="Times New Roman" w:hAnsi="Times New Roman" w:cs="Times New Roman"/>
                <w:sz w:val="24"/>
              </w:rPr>
            </w:pPr>
            <w:r>
              <w:rPr>
                <w:rFonts w:ascii="Times New Roman" w:hAnsi="Times New Roman" w:cs="Times New Roman"/>
                <w:sz w:val="24"/>
              </w:rPr>
              <w:t>315</w:t>
            </w:r>
          </w:p>
        </w:tc>
        <w:tc>
          <w:tcPr>
            <w:tcW w:w="883" w:type="dxa"/>
            <w:tcBorders>
              <w:top w:val="nil"/>
              <w:left w:val="nil"/>
              <w:bottom w:val="nil"/>
              <w:right w:val="nil"/>
            </w:tcBorders>
            <w:shd w:val="clear" w:color="auto" w:fill="FFFFFF"/>
            <w:vAlign w:val="center"/>
          </w:tcPr>
          <w:p w14:paraId="338F935F">
            <w:pPr>
              <w:spacing w:before="156" w:beforeLines="50" w:line="360" w:lineRule="auto"/>
              <w:rPr>
                <w:rFonts w:ascii="Times New Roman" w:hAnsi="Times New Roman" w:cs="Times New Roman"/>
                <w:sz w:val="24"/>
              </w:rPr>
            </w:pPr>
            <w:r>
              <w:rPr>
                <w:rFonts w:ascii="Times New Roman" w:hAnsi="Times New Roman" w:cs="Times New Roman"/>
                <w:sz w:val="24"/>
              </w:rPr>
              <w:t>s/c CRT</w:t>
            </w:r>
          </w:p>
        </w:tc>
        <w:tc>
          <w:tcPr>
            <w:tcW w:w="1283" w:type="dxa"/>
            <w:tcBorders>
              <w:top w:val="nil"/>
              <w:left w:val="nil"/>
              <w:bottom w:val="nil"/>
              <w:right w:val="nil"/>
            </w:tcBorders>
            <w:shd w:val="clear" w:color="auto" w:fill="FFFFFF"/>
            <w:vAlign w:val="center"/>
          </w:tcPr>
          <w:p w14:paraId="1E0A63A0">
            <w:pPr>
              <w:spacing w:before="156" w:beforeLines="50" w:line="360" w:lineRule="auto"/>
              <w:rPr>
                <w:rFonts w:ascii="Times New Roman" w:hAnsi="Times New Roman" w:cs="Times New Roman"/>
                <w:sz w:val="24"/>
              </w:rPr>
            </w:pPr>
            <w:r>
              <w:rPr>
                <w:rFonts w:ascii="Times New Roman" w:hAnsi="Times New Roman" w:cs="Times New Roman"/>
                <w:sz w:val="24"/>
              </w:rPr>
              <w:t>Consolidation</w:t>
            </w:r>
          </w:p>
        </w:tc>
        <w:tc>
          <w:tcPr>
            <w:tcW w:w="1483" w:type="dxa"/>
            <w:tcBorders>
              <w:top w:val="nil"/>
              <w:left w:val="nil"/>
              <w:bottom w:val="nil"/>
              <w:right w:val="nil"/>
            </w:tcBorders>
            <w:shd w:val="clear" w:color="auto" w:fill="FFFFFF"/>
            <w:vAlign w:val="center"/>
          </w:tcPr>
          <w:p w14:paraId="59B499FD">
            <w:pPr>
              <w:spacing w:before="156" w:beforeLines="50" w:line="360" w:lineRule="auto"/>
              <w:rPr>
                <w:rFonts w:ascii="Times New Roman" w:hAnsi="Times New Roman" w:cs="Times New Roman"/>
                <w:sz w:val="24"/>
              </w:rPr>
            </w:pPr>
            <w:r>
              <w:rPr>
                <w:rFonts w:ascii="Times New Roman" w:hAnsi="Times New Roman" w:cs="Times New Roman"/>
                <w:sz w:val="24"/>
              </w:rPr>
              <w:t>December 2022 (recruiting as of Mar 2022)</w:t>
            </w:r>
          </w:p>
        </w:tc>
      </w:tr>
      <w:tr w14:paraId="03ECDE7C">
        <w:trPr>
          <w:trHeight w:val="560" w:hRule="atLeast"/>
          <w:jc w:val="center"/>
        </w:trPr>
        <w:tc>
          <w:tcPr>
            <w:tcW w:w="1400" w:type="dxa"/>
            <w:tcBorders>
              <w:top w:val="nil"/>
              <w:left w:val="nil"/>
              <w:bottom w:val="nil"/>
              <w:right w:val="nil"/>
            </w:tcBorders>
            <w:shd w:val="clear" w:color="auto" w:fill="FFFFFF"/>
            <w:vAlign w:val="center"/>
          </w:tcPr>
          <w:p w14:paraId="52A4A6EA">
            <w:pPr>
              <w:spacing w:before="156" w:beforeLines="50" w:line="360" w:lineRule="auto"/>
              <w:rPr>
                <w:rFonts w:ascii="Times New Roman" w:hAnsi="Times New Roman" w:cs="Times New Roman"/>
                <w:sz w:val="24"/>
              </w:rPr>
            </w:pPr>
            <w:r>
              <w:rPr>
                <w:rFonts w:ascii="Times New Roman" w:hAnsi="Times New Roman" w:cs="Times New Roman"/>
                <w:sz w:val="24"/>
              </w:rPr>
              <w:t>SKYSCRAPER-03</w:t>
            </w:r>
          </w:p>
        </w:tc>
        <w:tc>
          <w:tcPr>
            <w:tcW w:w="1599" w:type="dxa"/>
            <w:tcBorders>
              <w:top w:val="nil"/>
              <w:left w:val="nil"/>
              <w:bottom w:val="nil"/>
              <w:right w:val="nil"/>
            </w:tcBorders>
            <w:shd w:val="clear" w:color="auto" w:fill="FFFFFF"/>
            <w:vAlign w:val="center"/>
          </w:tcPr>
          <w:p w14:paraId="7025500E">
            <w:pPr>
              <w:spacing w:before="156" w:beforeLines="50" w:line="360" w:lineRule="auto"/>
              <w:rPr>
                <w:rFonts w:ascii="Times New Roman" w:hAnsi="Times New Roman" w:cs="Times New Roman"/>
                <w:sz w:val="24"/>
              </w:rPr>
            </w:pPr>
            <w:r>
              <w:rPr>
                <w:rFonts w:ascii="Times New Roman" w:hAnsi="Times New Roman" w:cs="Times New Roman"/>
                <w:sz w:val="24"/>
                <w:lang w:val="en-US"/>
              </w:rPr>
              <w:t>Cadonilimab</w:t>
            </w:r>
            <w:r>
              <w:rPr>
                <w:rFonts w:ascii="Times New Roman" w:hAnsi="Times New Roman" w:cs="Times New Roman"/>
                <w:sz w:val="24"/>
              </w:rPr>
              <w:t xml:space="preserve"> ± anti-TIGIT mAb</w:t>
            </w:r>
          </w:p>
        </w:tc>
        <w:tc>
          <w:tcPr>
            <w:tcW w:w="1183" w:type="dxa"/>
            <w:tcBorders>
              <w:top w:val="nil"/>
              <w:left w:val="nil"/>
              <w:bottom w:val="nil"/>
              <w:right w:val="nil"/>
            </w:tcBorders>
            <w:shd w:val="clear" w:color="auto" w:fill="FFFFFF"/>
            <w:vAlign w:val="center"/>
          </w:tcPr>
          <w:p w14:paraId="66CCAAD5">
            <w:pPr>
              <w:spacing w:before="156" w:beforeLines="50" w:line="360" w:lineRule="auto"/>
              <w:rPr>
                <w:rFonts w:ascii="Times New Roman" w:hAnsi="Times New Roman" w:cs="Times New Roman"/>
                <w:sz w:val="24"/>
              </w:rPr>
            </w:pPr>
            <w:r>
              <w:rPr>
                <w:rFonts w:ascii="Times New Roman" w:hAnsi="Times New Roman" w:cs="Times New Roman"/>
                <w:sz w:val="24"/>
              </w:rPr>
              <w:t>NCT04513925</w:t>
            </w:r>
          </w:p>
        </w:tc>
        <w:tc>
          <w:tcPr>
            <w:tcW w:w="733" w:type="dxa"/>
            <w:tcBorders>
              <w:top w:val="nil"/>
              <w:left w:val="nil"/>
              <w:bottom w:val="nil"/>
              <w:right w:val="nil"/>
            </w:tcBorders>
            <w:shd w:val="clear" w:color="auto" w:fill="FFFFFF"/>
            <w:vAlign w:val="center"/>
          </w:tcPr>
          <w:p w14:paraId="0F11BD2E">
            <w:pPr>
              <w:spacing w:before="156" w:beforeLines="50" w:line="360" w:lineRule="auto"/>
              <w:rPr>
                <w:rFonts w:ascii="Times New Roman" w:hAnsi="Times New Roman" w:cs="Times New Roman"/>
                <w:sz w:val="24"/>
              </w:rPr>
            </w:pPr>
            <w:r>
              <w:rPr>
                <w:rFonts w:ascii="Times New Roman" w:hAnsi="Times New Roman" w:cs="Times New Roman"/>
                <w:sz w:val="24"/>
              </w:rPr>
              <w:t>829</w:t>
            </w:r>
          </w:p>
        </w:tc>
        <w:tc>
          <w:tcPr>
            <w:tcW w:w="883" w:type="dxa"/>
            <w:tcBorders>
              <w:top w:val="nil"/>
              <w:left w:val="nil"/>
              <w:bottom w:val="nil"/>
              <w:right w:val="nil"/>
            </w:tcBorders>
            <w:shd w:val="clear" w:color="auto" w:fill="FFFFFF"/>
            <w:vAlign w:val="center"/>
          </w:tcPr>
          <w:p w14:paraId="77F5642A">
            <w:pPr>
              <w:spacing w:before="156" w:beforeLines="50" w:line="360" w:lineRule="auto"/>
              <w:rPr>
                <w:rFonts w:ascii="Times New Roman" w:hAnsi="Times New Roman" w:cs="Times New Roman"/>
                <w:sz w:val="24"/>
              </w:rPr>
            </w:pPr>
            <w:r>
              <w:rPr>
                <w:rFonts w:ascii="Times New Roman" w:hAnsi="Times New Roman" w:cs="Times New Roman"/>
                <w:sz w:val="24"/>
              </w:rPr>
              <w:t>cCRT</w:t>
            </w:r>
          </w:p>
        </w:tc>
        <w:tc>
          <w:tcPr>
            <w:tcW w:w="1283" w:type="dxa"/>
            <w:tcBorders>
              <w:top w:val="nil"/>
              <w:left w:val="nil"/>
              <w:bottom w:val="nil"/>
              <w:right w:val="nil"/>
            </w:tcBorders>
            <w:shd w:val="clear" w:color="auto" w:fill="FFFFFF"/>
            <w:vAlign w:val="center"/>
          </w:tcPr>
          <w:p w14:paraId="17E71E14">
            <w:pPr>
              <w:spacing w:before="156" w:beforeLines="50" w:line="360" w:lineRule="auto"/>
              <w:rPr>
                <w:rFonts w:ascii="Times New Roman" w:hAnsi="Times New Roman" w:cs="Times New Roman"/>
                <w:sz w:val="24"/>
              </w:rPr>
            </w:pPr>
            <w:r>
              <w:rPr>
                <w:rFonts w:ascii="Times New Roman" w:hAnsi="Times New Roman" w:cs="Times New Roman"/>
                <w:sz w:val="24"/>
              </w:rPr>
              <w:t>Consolidation</w:t>
            </w:r>
          </w:p>
        </w:tc>
        <w:tc>
          <w:tcPr>
            <w:tcW w:w="1483" w:type="dxa"/>
            <w:tcBorders>
              <w:top w:val="nil"/>
              <w:left w:val="nil"/>
              <w:bottom w:val="nil"/>
              <w:right w:val="nil"/>
            </w:tcBorders>
            <w:shd w:val="clear" w:color="auto" w:fill="FFFFFF"/>
            <w:vAlign w:val="center"/>
          </w:tcPr>
          <w:p w14:paraId="3AD654FE">
            <w:pPr>
              <w:spacing w:before="156" w:beforeLines="50" w:line="360" w:lineRule="auto"/>
              <w:rPr>
                <w:rFonts w:ascii="Times New Roman" w:hAnsi="Times New Roman" w:cs="Times New Roman"/>
                <w:sz w:val="24"/>
              </w:rPr>
            </w:pPr>
            <w:r>
              <w:rPr>
                <w:rFonts w:ascii="Times New Roman" w:hAnsi="Times New Roman" w:cs="Times New Roman"/>
                <w:sz w:val="24"/>
              </w:rPr>
              <w:t>2024/10/1</w:t>
            </w:r>
          </w:p>
        </w:tc>
      </w:tr>
      <w:tr w14:paraId="4FA249B3">
        <w:trPr>
          <w:trHeight w:val="820" w:hRule="atLeast"/>
          <w:jc w:val="center"/>
        </w:trPr>
        <w:tc>
          <w:tcPr>
            <w:tcW w:w="1400" w:type="dxa"/>
            <w:tcBorders>
              <w:top w:val="nil"/>
              <w:left w:val="nil"/>
              <w:bottom w:val="nil"/>
              <w:right w:val="nil"/>
            </w:tcBorders>
            <w:shd w:val="clear" w:color="auto" w:fill="FFFFFF"/>
            <w:vAlign w:val="center"/>
          </w:tcPr>
          <w:p w14:paraId="77D73132">
            <w:pPr>
              <w:spacing w:before="156" w:beforeLines="50" w:line="360" w:lineRule="auto"/>
              <w:rPr>
                <w:rFonts w:ascii="Times New Roman" w:hAnsi="Times New Roman" w:cs="Times New Roman"/>
                <w:sz w:val="24"/>
              </w:rPr>
            </w:pPr>
            <w:r>
              <w:rPr>
                <w:rFonts w:ascii="Times New Roman" w:hAnsi="Times New Roman" w:cs="Times New Roman"/>
                <w:sz w:val="24"/>
              </w:rPr>
              <w:t>AdvanTIG-301</w:t>
            </w:r>
          </w:p>
        </w:tc>
        <w:tc>
          <w:tcPr>
            <w:tcW w:w="1599" w:type="dxa"/>
            <w:tcBorders>
              <w:top w:val="nil"/>
              <w:left w:val="nil"/>
              <w:bottom w:val="nil"/>
              <w:right w:val="nil"/>
            </w:tcBorders>
            <w:shd w:val="clear" w:color="auto" w:fill="FFFFFF"/>
            <w:vAlign w:val="center"/>
          </w:tcPr>
          <w:p w14:paraId="338418BC">
            <w:pPr>
              <w:spacing w:before="156" w:beforeLines="50" w:line="360" w:lineRule="auto"/>
              <w:rPr>
                <w:rFonts w:ascii="Times New Roman" w:hAnsi="Times New Roman" w:cs="Times New Roman"/>
                <w:sz w:val="24"/>
              </w:rPr>
            </w:pPr>
            <w:r>
              <w:rPr>
                <w:rFonts w:ascii="Times New Roman" w:hAnsi="Times New Roman" w:cs="Times New Roman"/>
                <w:sz w:val="24"/>
              </w:rPr>
              <w:t>TIS±OCI (anti-TIGIT) + cCRT → TIS±OCI</w:t>
            </w:r>
          </w:p>
        </w:tc>
        <w:tc>
          <w:tcPr>
            <w:tcW w:w="1183" w:type="dxa"/>
            <w:tcBorders>
              <w:top w:val="nil"/>
              <w:left w:val="nil"/>
              <w:bottom w:val="nil"/>
              <w:right w:val="nil"/>
            </w:tcBorders>
            <w:shd w:val="clear" w:color="auto" w:fill="FFFFFF"/>
            <w:vAlign w:val="center"/>
          </w:tcPr>
          <w:p w14:paraId="221F3BD6">
            <w:pPr>
              <w:spacing w:before="156" w:beforeLines="50" w:line="360" w:lineRule="auto"/>
              <w:rPr>
                <w:rFonts w:ascii="Times New Roman" w:hAnsi="Times New Roman" w:cs="Times New Roman"/>
                <w:sz w:val="24"/>
              </w:rPr>
            </w:pPr>
            <w:r>
              <w:rPr>
                <w:rFonts w:ascii="Times New Roman" w:hAnsi="Times New Roman" w:cs="Times New Roman"/>
                <w:sz w:val="24"/>
              </w:rPr>
              <w:t>NCT04866017</w:t>
            </w:r>
          </w:p>
        </w:tc>
        <w:tc>
          <w:tcPr>
            <w:tcW w:w="733" w:type="dxa"/>
            <w:tcBorders>
              <w:top w:val="nil"/>
              <w:left w:val="nil"/>
              <w:bottom w:val="nil"/>
              <w:right w:val="nil"/>
            </w:tcBorders>
            <w:shd w:val="clear" w:color="auto" w:fill="FFFFFF"/>
            <w:vAlign w:val="center"/>
          </w:tcPr>
          <w:p w14:paraId="515DA488">
            <w:pPr>
              <w:spacing w:before="156" w:beforeLines="50" w:line="360" w:lineRule="auto"/>
              <w:rPr>
                <w:rFonts w:ascii="Times New Roman" w:hAnsi="Times New Roman" w:cs="Times New Roman"/>
                <w:sz w:val="24"/>
              </w:rPr>
            </w:pPr>
            <w:r>
              <w:rPr>
                <w:rFonts w:ascii="Times New Roman" w:hAnsi="Times New Roman" w:cs="Times New Roman"/>
                <w:sz w:val="24"/>
              </w:rPr>
              <w:t>600</w:t>
            </w:r>
          </w:p>
        </w:tc>
        <w:tc>
          <w:tcPr>
            <w:tcW w:w="883" w:type="dxa"/>
            <w:tcBorders>
              <w:top w:val="nil"/>
              <w:left w:val="nil"/>
              <w:bottom w:val="nil"/>
              <w:right w:val="nil"/>
            </w:tcBorders>
            <w:shd w:val="clear" w:color="auto" w:fill="FFFFFF"/>
            <w:vAlign w:val="center"/>
          </w:tcPr>
          <w:p w14:paraId="7FDEB76F">
            <w:pPr>
              <w:spacing w:before="156" w:beforeLines="50" w:line="360" w:lineRule="auto"/>
              <w:rPr>
                <w:rFonts w:ascii="Times New Roman" w:hAnsi="Times New Roman" w:cs="Times New Roman"/>
                <w:sz w:val="24"/>
              </w:rPr>
            </w:pPr>
            <w:r>
              <w:rPr>
                <w:rFonts w:ascii="Times New Roman" w:hAnsi="Times New Roman" w:cs="Times New Roman"/>
                <w:sz w:val="24"/>
              </w:rPr>
              <w:t>cCRT</w:t>
            </w:r>
          </w:p>
        </w:tc>
        <w:tc>
          <w:tcPr>
            <w:tcW w:w="1283" w:type="dxa"/>
            <w:tcBorders>
              <w:top w:val="nil"/>
              <w:left w:val="nil"/>
              <w:bottom w:val="nil"/>
              <w:right w:val="nil"/>
            </w:tcBorders>
            <w:shd w:val="clear" w:color="auto" w:fill="FFFFFF"/>
            <w:vAlign w:val="center"/>
          </w:tcPr>
          <w:p w14:paraId="704D3966">
            <w:pPr>
              <w:spacing w:before="156" w:beforeLines="50" w:line="360" w:lineRule="auto"/>
              <w:rPr>
                <w:rFonts w:ascii="Times New Roman" w:hAnsi="Times New Roman" w:cs="Times New Roman"/>
                <w:sz w:val="24"/>
              </w:rPr>
            </w:pPr>
            <w:r>
              <w:rPr>
                <w:rFonts w:ascii="Times New Roman" w:hAnsi="Times New Roman" w:cs="Times New Roman"/>
                <w:sz w:val="24"/>
              </w:rPr>
              <w:t>Concurrent + Consolidation</w:t>
            </w:r>
          </w:p>
        </w:tc>
        <w:tc>
          <w:tcPr>
            <w:tcW w:w="1483" w:type="dxa"/>
            <w:tcBorders>
              <w:top w:val="nil"/>
              <w:left w:val="nil"/>
              <w:bottom w:val="nil"/>
              <w:right w:val="nil"/>
            </w:tcBorders>
            <w:shd w:val="clear" w:color="auto" w:fill="FFFFFF"/>
            <w:vAlign w:val="center"/>
          </w:tcPr>
          <w:p w14:paraId="7C6C28E3">
            <w:pPr>
              <w:spacing w:before="156" w:beforeLines="50" w:line="360" w:lineRule="auto"/>
              <w:rPr>
                <w:rFonts w:ascii="Times New Roman" w:hAnsi="Times New Roman" w:cs="Times New Roman"/>
                <w:sz w:val="24"/>
              </w:rPr>
            </w:pPr>
            <w:r>
              <w:rPr>
                <w:rFonts w:ascii="Times New Roman" w:hAnsi="Times New Roman" w:cs="Times New Roman"/>
                <w:sz w:val="24"/>
              </w:rPr>
              <w:t>Study stopped in Sep 2023, while 63 pati</w:t>
            </w:r>
            <w:r>
              <w:rPr>
                <w:rFonts w:hint="eastAsia" w:ascii="Times New Roman" w:hAnsi="Times New Roman" w:cs="Times New Roman"/>
                <w:sz w:val="24"/>
              </w:rPr>
              <w:t>e</w:t>
            </w:r>
            <w:r>
              <w:rPr>
                <w:rFonts w:ascii="Times New Roman" w:hAnsi="Times New Roman" w:cs="Times New Roman"/>
                <w:sz w:val="24"/>
              </w:rPr>
              <w:t>nts enrolled.</w:t>
            </w:r>
          </w:p>
        </w:tc>
      </w:tr>
      <w:tr w14:paraId="1C26E0EB">
        <w:trPr>
          <w:trHeight w:val="820" w:hRule="atLeast"/>
          <w:jc w:val="center"/>
        </w:trPr>
        <w:tc>
          <w:tcPr>
            <w:tcW w:w="1400" w:type="dxa"/>
            <w:tcBorders>
              <w:top w:val="nil"/>
              <w:left w:val="nil"/>
              <w:bottom w:val="nil"/>
              <w:right w:val="nil"/>
            </w:tcBorders>
            <w:shd w:val="clear" w:color="auto" w:fill="FFFFFF"/>
            <w:vAlign w:val="center"/>
          </w:tcPr>
          <w:p w14:paraId="25EC5B3F">
            <w:pPr>
              <w:spacing w:before="156" w:beforeLines="50" w:line="360" w:lineRule="auto"/>
              <w:rPr>
                <w:rFonts w:ascii="Times New Roman" w:hAnsi="Times New Roman" w:cs="Times New Roman"/>
                <w:sz w:val="24"/>
              </w:rPr>
            </w:pPr>
            <w:r>
              <w:rPr>
                <w:rFonts w:ascii="Times New Roman" w:hAnsi="Times New Roman" w:cs="Times New Roman"/>
                <w:sz w:val="24"/>
              </w:rPr>
              <w:t>PACIFIC-8</w:t>
            </w:r>
          </w:p>
        </w:tc>
        <w:tc>
          <w:tcPr>
            <w:tcW w:w="1599" w:type="dxa"/>
            <w:tcBorders>
              <w:top w:val="nil"/>
              <w:left w:val="nil"/>
              <w:bottom w:val="nil"/>
              <w:right w:val="nil"/>
            </w:tcBorders>
            <w:shd w:val="clear" w:color="auto" w:fill="FFFFFF"/>
            <w:vAlign w:val="center"/>
          </w:tcPr>
          <w:p w14:paraId="0BBF3BED">
            <w:pPr>
              <w:spacing w:before="156" w:beforeLines="50" w:line="360" w:lineRule="auto"/>
              <w:rPr>
                <w:rFonts w:ascii="Times New Roman" w:hAnsi="Times New Roman" w:cs="Times New Roman"/>
                <w:sz w:val="24"/>
              </w:rPr>
            </w:pPr>
            <w:r>
              <w:rPr>
                <w:rFonts w:ascii="Times New Roman" w:hAnsi="Times New Roman" w:cs="Times New Roman"/>
                <w:sz w:val="24"/>
              </w:rPr>
              <w:t>Durvalumab ± Domvanalimab (anti-TIGIT)</w:t>
            </w:r>
          </w:p>
        </w:tc>
        <w:tc>
          <w:tcPr>
            <w:tcW w:w="1183" w:type="dxa"/>
            <w:tcBorders>
              <w:top w:val="nil"/>
              <w:left w:val="nil"/>
              <w:bottom w:val="nil"/>
              <w:right w:val="nil"/>
            </w:tcBorders>
            <w:shd w:val="clear" w:color="auto" w:fill="FFFFFF"/>
            <w:vAlign w:val="center"/>
          </w:tcPr>
          <w:p w14:paraId="4DB9DFAB">
            <w:pPr>
              <w:spacing w:before="156" w:beforeLines="50" w:line="360" w:lineRule="auto"/>
              <w:rPr>
                <w:rFonts w:ascii="Times New Roman" w:hAnsi="Times New Roman" w:cs="Times New Roman"/>
                <w:sz w:val="24"/>
              </w:rPr>
            </w:pPr>
            <w:r>
              <w:rPr>
                <w:rFonts w:ascii="Times New Roman" w:hAnsi="Times New Roman" w:cs="Times New Roman"/>
                <w:sz w:val="24"/>
              </w:rPr>
              <w:t>NCT05211895</w:t>
            </w:r>
          </w:p>
        </w:tc>
        <w:tc>
          <w:tcPr>
            <w:tcW w:w="733" w:type="dxa"/>
            <w:tcBorders>
              <w:top w:val="nil"/>
              <w:left w:val="nil"/>
              <w:bottom w:val="nil"/>
              <w:right w:val="nil"/>
            </w:tcBorders>
            <w:shd w:val="clear" w:color="auto" w:fill="FFFFFF"/>
            <w:vAlign w:val="center"/>
          </w:tcPr>
          <w:p w14:paraId="2F960D2F">
            <w:pPr>
              <w:spacing w:before="156" w:beforeLines="50" w:line="360" w:lineRule="auto"/>
              <w:rPr>
                <w:rFonts w:ascii="Times New Roman" w:hAnsi="Times New Roman" w:cs="Times New Roman"/>
                <w:sz w:val="24"/>
              </w:rPr>
            </w:pPr>
            <w:r>
              <w:rPr>
                <w:rFonts w:ascii="Times New Roman" w:hAnsi="Times New Roman" w:cs="Times New Roman"/>
                <w:sz w:val="24"/>
              </w:rPr>
              <w:t>860</w:t>
            </w:r>
          </w:p>
        </w:tc>
        <w:tc>
          <w:tcPr>
            <w:tcW w:w="883" w:type="dxa"/>
            <w:tcBorders>
              <w:top w:val="nil"/>
              <w:left w:val="nil"/>
              <w:bottom w:val="nil"/>
              <w:right w:val="nil"/>
            </w:tcBorders>
            <w:shd w:val="clear" w:color="auto" w:fill="FFFFFF"/>
            <w:vAlign w:val="center"/>
          </w:tcPr>
          <w:p w14:paraId="029BCA33">
            <w:pPr>
              <w:spacing w:before="156" w:beforeLines="50" w:line="360" w:lineRule="auto"/>
              <w:rPr>
                <w:rFonts w:ascii="Times New Roman" w:hAnsi="Times New Roman" w:cs="Times New Roman"/>
                <w:sz w:val="24"/>
              </w:rPr>
            </w:pPr>
            <w:r>
              <w:rPr>
                <w:rFonts w:ascii="Times New Roman" w:hAnsi="Times New Roman" w:cs="Times New Roman"/>
                <w:sz w:val="24"/>
              </w:rPr>
              <w:t>cCRT</w:t>
            </w:r>
          </w:p>
        </w:tc>
        <w:tc>
          <w:tcPr>
            <w:tcW w:w="1283" w:type="dxa"/>
            <w:tcBorders>
              <w:top w:val="nil"/>
              <w:left w:val="nil"/>
              <w:bottom w:val="nil"/>
              <w:right w:val="nil"/>
            </w:tcBorders>
            <w:shd w:val="clear" w:color="auto" w:fill="FFFFFF"/>
            <w:vAlign w:val="center"/>
          </w:tcPr>
          <w:p w14:paraId="50B702FF">
            <w:pPr>
              <w:spacing w:before="156" w:beforeLines="50" w:line="360" w:lineRule="auto"/>
              <w:rPr>
                <w:rFonts w:ascii="Times New Roman" w:hAnsi="Times New Roman" w:cs="Times New Roman"/>
                <w:sz w:val="24"/>
              </w:rPr>
            </w:pPr>
            <w:r>
              <w:rPr>
                <w:rFonts w:ascii="Times New Roman" w:hAnsi="Times New Roman" w:cs="Times New Roman"/>
                <w:sz w:val="24"/>
              </w:rPr>
              <w:t>Consolidation</w:t>
            </w:r>
          </w:p>
        </w:tc>
        <w:tc>
          <w:tcPr>
            <w:tcW w:w="1483" w:type="dxa"/>
            <w:tcBorders>
              <w:top w:val="nil"/>
              <w:left w:val="nil"/>
              <w:bottom w:val="nil"/>
              <w:right w:val="nil"/>
            </w:tcBorders>
            <w:shd w:val="clear" w:color="auto" w:fill="FFFFFF"/>
            <w:vAlign w:val="center"/>
          </w:tcPr>
          <w:p w14:paraId="5BDF2235">
            <w:pPr>
              <w:spacing w:before="156" w:beforeLines="50" w:line="360" w:lineRule="auto"/>
              <w:rPr>
                <w:rFonts w:ascii="Times New Roman" w:hAnsi="Times New Roman" w:cs="Times New Roman"/>
                <w:sz w:val="24"/>
              </w:rPr>
            </w:pPr>
            <w:r>
              <w:rPr>
                <w:rFonts w:ascii="Times New Roman" w:hAnsi="Times New Roman" w:cs="Times New Roman"/>
                <w:sz w:val="24"/>
              </w:rPr>
              <w:t>2027/6/1</w:t>
            </w:r>
          </w:p>
        </w:tc>
      </w:tr>
      <w:tr w14:paraId="601A56B2">
        <w:trPr>
          <w:trHeight w:val="1100" w:hRule="atLeast"/>
          <w:jc w:val="center"/>
        </w:trPr>
        <w:tc>
          <w:tcPr>
            <w:tcW w:w="1400" w:type="dxa"/>
            <w:tcBorders>
              <w:top w:val="nil"/>
              <w:left w:val="nil"/>
              <w:bottom w:val="single" w:color="000000" w:sz="12" w:space="0"/>
              <w:right w:val="nil"/>
            </w:tcBorders>
            <w:shd w:val="clear" w:color="auto" w:fill="FFFFFF"/>
            <w:vAlign w:val="center"/>
          </w:tcPr>
          <w:p w14:paraId="2A9EF13F">
            <w:pPr>
              <w:spacing w:before="156" w:beforeLines="50" w:line="360" w:lineRule="auto"/>
              <w:rPr>
                <w:rFonts w:ascii="Times New Roman" w:hAnsi="Times New Roman" w:cs="Times New Roman"/>
                <w:sz w:val="24"/>
              </w:rPr>
            </w:pPr>
            <w:r>
              <w:rPr>
                <w:rFonts w:ascii="Times New Roman" w:hAnsi="Times New Roman" w:cs="Times New Roman"/>
                <w:sz w:val="24"/>
              </w:rPr>
              <w:t>PACIFIC-9</w:t>
            </w:r>
          </w:p>
        </w:tc>
        <w:tc>
          <w:tcPr>
            <w:tcW w:w="1599" w:type="dxa"/>
            <w:tcBorders>
              <w:top w:val="nil"/>
              <w:left w:val="nil"/>
              <w:bottom w:val="single" w:color="000000" w:sz="12" w:space="0"/>
              <w:right w:val="nil"/>
            </w:tcBorders>
            <w:shd w:val="clear" w:color="auto" w:fill="FFFFFF"/>
            <w:vAlign w:val="center"/>
          </w:tcPr>
          <w:p w14:paraId="1BF1781F">
            <w:pPr>
              <w:spacing w:before="156" w:beforeLines="50" w:line="360" w:lineRule="auto"/>
              <w:rPr>
                <w:rFonts w:ascii="Times New Roman" w:hAnsi="Times New Roman" w:cs="Times New Roman"/>
                <w:sz w:val="24"/>
              </w:rPr>
            </w:pPr>
            <w:r>
              <w:rPr>
                <w:rFonts w:ascii="Times New Roman" w:hAnsi="Times New Roman" w:cs="Times New Roman"/>
                <w:sz w:val="24"/>
              </w:rPr>
              <w:t>Durvalumab ± Oleclumab (anti-CD73)/Monalizumab (anti-NKG2A)</w:t>
            </w:r>
          </w:p>
        </w:tc>
        <w:tc>
          <w:tcPr>
            <w:tcW w:w="1183" w:type="dxa"/>
            <w:tcBorders>
              <w:top w:val="nil"/>
              <w:left w:val="nil"/>
              <w:bottom w:val="single" w:color="000000" w:sz="12" w:space="0"/>
              <w:right w:val="nil"/>
            </w:tcBorders>
            <w:shd w:val="clear" w:color="auto" w:fill="FFFFFF"/>
            <w:vAlign w:val="center"/>
          </w:tcPr>
          <w:p w14:paraId="438EE49A">
            <w:pPr>
              <w:spacing w:before="156" w:beforeLines="50" w:line="360" w:lineRule="auto"/>
              <w:rPr>
                <w:rFonts w:ascii="Times New Roman" w:hAnsi="Times New Roman" w:cs="Times New Roman"/>
                <w:sz w:val="24"/>
              </w:rPr>
            </w:pPr>
            <w:r>
              <w:rPr>
                <w:rFonts w:ascii="Times New Roman" w:hAnsi="Times New Roman" w:cs="Times New Roman"/>
                <w:sz w:val="24"/>
              </w:rPr>
              <w:t>NCT05221840</w:t>
            </w:r>
          </w:p>
        </w:tc>
        <w:tc>
          <w:tcPr>
            <w:tcW w:w="733" w:type="dxa"/>
            <w:tcBorders>
              <w:top w:val="nil"/>
              <w:left w:val="nil"/>
              <w:bottom w:val="single" w:color="000000" w:sz="12" w:space="0"/>
              <w:right w:val="nil"/>
            </w:tcBorders>
            <w:shd w:val="clear" w:color="auto" w:fill="FFFFFF"/>
            <w:vAlign w:val="center"/>
          </w:tcPr>
          <w:p w14:paraId="177E74AD">
            <w:pPr>
              <w:spacing w:before="156" w:beforeLines="50" w:line="360" w:lineRule="auto"/>
              <w:rPr>
                <w:rFonts w:ascii="Times New Roman" w:hAnsi="Times New Roman" w:cs="Times New Roman"/>
                <w:sz w:val="24"/>
              </w:rPr>
            </w:pPr>
            <w:r>
              <w:rPr>
                <w:rFonts w:ascii="Times New Roman" w:hAnsi="Times New Roman" w:cs="Times New Roman"/>
                <w:sz w:val="24"/>
              </w:rPr>
              <w:t>999</w:t>
            </w:r>
          </w:p>
        </w:tc>
        <w:tc>
          <w:tcPr>
            <w:tcW w:w="883" w:type="dxa"/>
            <w:tcBorders>
              <w:top w:val="nil"/>
              <w:left w:val="nil"/>
              <w:bottom w:val="single" w:color="000000" w:sz="12" w:space="0"/>
              <w:right w:val="nil"/>
            </w:tcBorders>
            <w:shd w:val="clear" w:color="auto" w:fill="FFFFFF"/>
            <w:vAlign w:val="center"/>
          </w:tcPr>
          <w:p w14:paraId="7DA23EC8">
            <w:pPr>
              <w:spacing w:before="156" w:beforeLines="50" w:line="360" w:lineRule="auto"/>
              <w:rPr>
                <w:rFonts w:ascii="Times New Roman" w:hAnsi="Times New Roman" w:cs="Times New Roman"/>
                <w:sz w:val="24"/>
              </w:rPr>
            </w:pPr>
            <w:r>
              <w:rPr>
                <w:rFonts w:ascii="Times New Roman" w:hAnsi="Times New Roman" w:cs="Times New Roman"/>
                <w:sz w:val="24"/>
              </w:rPr>
              <w:t>cCRT</w:t>
            </w:r>
          </w:p>
        </w:tc>
        <w:tc>
          <w:tcPr>
            <w:tcW w:w="1283" w:type="dxa"/>
            <w:tcBorders>
              <w:top w:val="nil"/>
              <w:left w:val="nil"/>
              <w:bottom w:val="single" w:color="000000" w:sz="12" w:space="0"/>
              <w:right w:val="nil"/>
            </w:tcBorders>
            <w:shd w:val="clear" w:color="auto" w:fill="FFFFFF"/>
            <w:vAlign w:val="center"/>
          </w:tcPr>
          <w:p w14:paraId="2C6E433B">
            <w:pPr>
              <w:spacing w:before="156" w:beforeLines="50" w:line="360" w:lineRule="auto"/>
              <w:rPr>
                <w:rFonts w:ascii="Times New Roman" w:hAnsi="Times New Roman" w:cs="Times New Roman"/>
                <w:sz w:val="24"/>
              </w:rPr>
            </w:pPr>
            <w:r>
              <w:rPr>
                <w:rFonts w:ascii="Times New Roman" w:hAnsi="Times New Roman" w:cs="Times New Roman"/>
                <w:sz w:val="24"/>
              </w:rPr>
              <w:t>Consolidation</w:t>
            </w:r>
          </w:p>
        </w:tc>
        <w:tc>
          <w:tcPr>
            <w:tcW w:w="1483" w:type="dxa"/>
            <w:tcBorders>
              <w:top w:val="nil"/>
              <w:left w:val="nil"/>
              <w:bottom w:val="single" w:color="000000" w:sz="12" w:space="0"/>
              <w:right w:val="nil"/>
            </w:tcBorders>
            <w:shd w:val="clear" w:color="auto" w:fill="FFFFFF"/>
            <w:vAlign w:val="center"/>
          </w:tcPr>
          <w:p w14:paraId="176447CD">
            <w:pPr>
              <w:spacing w:before="156" w:beforeLines="50" w:line="360" w:lineRule="auto"/>
              <w:rPr>
                <w:rFonts w:ascii="Times New Roman" w:hAnsi="Times New Roman" w:cs="Times New Roman"/>
                <w:sz w:val="24"/>
              </w:rPr>
            </w:pPr>
            <w:r>
              <w:rPr>
                <w:rFonts w:ascii="Times New Roman" w:hAnsi="Times New Roman" w:cs="Times New Roman"/>
                <w:sz w:val="24"/>
              </w:rPr>
              <w:t>2026/5/1</w:t>
            </w:r>
          </w:p>
        </w:tc>
      </w:tr>
    </w:tbl>
    <w:p w14:paraId="5BBB9A03">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*Source: www.clinicaltrial.com (2024.01)</w:t>
      </w:r>
    </w:p>
    <w:p w14:paraId="79B4BB3A">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 xml:space="preserve">AK104, developed independently by Akeso Biopharma, Inc., is a humanized immunoglobulin G1 (IgG1) bispecific antibody with Fc mutations designed to eliminate Fc receptor and complement-mediated cytotoxicity. Cadonilimabsimultaneously binds to PD-1 and cytotoxic T-lymphocyte–associated antigen-4 (CTLA-4), thereby blocking the interactions of PD-1/PD-L1, PD-1/PD-L2, CTLA-4/B7.1, and CTLA-4/B7.2. Structurally, </w:t>
      </w:r>
      <w:r>
        <w:rPr>
          <w:rFonts w:ascii="Times New Roman" w:hAnsi="Times New Roman" w:cs="Times New Roman"/>
          <w:sz w:val="24"/>
          <w:lang w:val="en-US"/>
        </w:rPr>
        <w:t>Cadonilimab</w:t>
      </w:r>
      <w:r>
        <w:rPr>
          <w:rFonts w:ascii="Times New Roman" w:hAnsi="Times New Roman" w:cs="Times New Roman"/>
          <w:sz w:val="24"/>
        </w:rPr>
        <w:t xml:space="preserve"> is a tetravalent IgG-scFv bispecific antibody. Point mutations within its Fc region prevent binding to complement protein C1q and Fc receptors involved in cytotoxic activity. This enables </w:t>
      </w:r>
      <w:r>
        <w:rPr>
          <w:rFonts w:ascii="Times New Roman" w:hAnsi="Times New Roman" w:cs="Times New Roman"/>
          <w:sz w:val="24"/>
          <w:lang w:val="en-US"/>
        </w:rPr>
        <w:t>Cadonilimab</w:t>
      </w:r>
      <w:r>
        <w:rPr>
          <w:rFonts w:ascii="Times New Roman" w:hAnsi="Times New Roman" w:cs="Times New Roman"/>
          <w:sz w:val="24"/>
        </w:rPr>
        <w:t xml:space="preserve"> to achieve stable multivalent binding to T cells co-expressing PD-1 and CTLA-4 within the tumor microenvironment, facilitating tumor-targeted enrichment, reducing distribution in normal tissues, and minimizing adverse events (AEs). In June 2022, the NMPA approved </w:t>
      </w:r>
      <w:r>
        <w:rPr>
          <w:rFonts w:ascii="Times New Roman" w:hAnsi="Times New Roman" w:cs="Times New Roman"/>
          <w:sz w:val="24"/>
          <w:lang w:val="en-US"/>
        </w:rPr>
        <w:t>Cadonilimab</w:t>
      </w:r>
      <w:r>
        <w:rPr>
          <w:rFonts w:ascii="Times New Roman" w:hAnsi="Times New Roman" w:cs="Times New Roman"/>
          <w:sz w:val="24"/>
        </w:rPr>
        <w:t xml:space="preserve"> for the treatment of recurrent or metastatic cervical cancer following failure of prior platinum-based chemotherapy.</w:t>
      </w:r>
    </w:p>
    <w:p w14:paraId="7FF0840D">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 xml:space="preserve">A growing body of clinical data has been reported for Cadonilimab, either as monotherapy or in combination with chemotherapy, in NSCLC. AK104-202 was a phase Ib/II trial conducted in China to evaluate the efficacy and safety of </w:t>
      </w:r>
      <w:r>
        <w:rPr>
          <w:rFonts w:ascii="Times New Roman" w:hAnsi="Times New Roman" w:cs="Times New Roman"/>
          <w:sz w:val="24"/>
          <w:lang w:val="en-US"/>
        </w:rPr>
        <w:t>Cadonilimab</w:t>
      </w:r>
      <w:r>
        <w:rPr>
          <w:rFonts w:ascii="Times New Roman" w:hAnsi="Times New Roman" w:cs="Times New Roman"/>
          <w:sz w:val="24"/>
        </w:rPr>
        <w:t xml:space="preserve"> in selected solid tumors. As of April 27, 2022, 53 patients with advanced NSCLC received </w:t>
      </w:r>
      <w:r>
        <w:rPr>
          <w:rFonts w:ascii="Times New Roman" w:hAnsi="Times New Roman" w:cs="Times New Roman"/>
          <w:sz w:val="24"/>
          <w:lang w:val="en-US"/>
        </w:rPr>
        <w:t>Cadonilimab</w:t>
      </w:r>
      <w:r>
        <w:rPr>
          <w:rFonts w:ascii="Times New Roman" w:hAnsi="Times New Roman" w:cs="Times New Roman"/>
          <w:sz w:val="24"/>
        </w:rPr>
        <w:t xml:space="preserve"> 6 mg/kg every two weeks. Among 30 evaluable patients who had failed prior chemotherapy (second- or third-line non-squamous or squamous NSCLC), the median OS was 19.61 months. The 6-, 12-, and 24-month OS rates were 86.5% (95% CI, 68.0–94.7), 65.8% (95% CI, 45.7–79.9), and 42.6% (95% CI, 23.9–60.1), respectively. In another cohort of 16 patients with locally advanced or metastatic NSCLC who had failed both prior PD-1/L1 inhibitor and platinum-based chemotherapy (≤3 prior systemic therapies), the median OS was 13.16 months, with 6- and 12-month OS rates of 81.3% (95% CI, 52.5–93.5) and 56.3% (95% CI, 29.5–76.2), respectively.</w:t>
      </w:r>
    </w:p>
    <w:p w14:paraId="3898E92F">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 xml:space="preserve">AK104-207 was an open-label, multicenter phase Ib/II trial evaluating </w:t>
      </w:r>
      <w:r>
        <w:rPr>
          <w:rFonts w:ascii="Times New Roman" w:hAnsi="Times New Roman" w:cs="Times New Roman"/>
          <w:sz w:val="24"/>
          <w:lang w:val="en-US"/>
        </w:rPr>
        <w:t>Cadonilimab</w:t>
      </w:r>
      <w:r>
        <w:rPr>
          <w:rFonts w:ascii="Times New Roman" w:hAnsi="Times New Roman" w:cs="Times New Roman"/>
          <w:sz w:val="24"/>
        </w:rPr>
        <w:t xml:space="preserve"> in combination with chemotherapy as first-line treatment for patients with unresectable, locally advanced, or metastatic NSCLC who were not candidates for definitive cCRT or sCRT. As of March 4, 2022, 46 evaluable patients were enrolled. The objective response rate (ORR) was 51.2%, and the disease control rate (DCR) was 93.0%. In the squamous NSCLC cohort (Cohort A, n=23), the ORR was 40.9% and DCR was 90.9%; the median PFS was 5.65 months (95% CI, 4.21–12.91), while median OS was not reached, with a 12-month OS rate of 90.9% (95% CI, 50.8–98.7). In the non-squamous NSCLC cohort (Cohort B, n=23), the ORR was 66.7% and DCR was 95.2%; the median PFS was 8.51 months (95% CI, 5.65–NE), median OS was not reached, and the 12-month OS rate was 84.6% (95% CI, 58.9–94.8).</w:t>
      </w:r>
    </w:p>
    <w:p w14:paraId="6E129711">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 xml:space="preserve">AK104-208 was an open-label, multicenter phase Ib/II study designed to evaluate the safety and efficacy of </w:t>
      </w:r>
      <w:r>
        <w:rPr>
          <w:rFonts w:ascii="Times New Roman" w:hAnsi="Times New Roman" w:cs="Times New Roman"/>
          <w:sz w:val="24"/>
          <w:lang w:val="en-US"/>
        </w:rPr>
        <w:t>Cadonilimab</w:t>
      </w:r>
      <w:r>
        <w:rPr>
          <w:rFonts w:ascii="Times New Roman" w:hAnsi="Times New Roman" w:cs="Times New Roman"/>
          <w:sz w:val="24"/>
        </w:rPr>
        <w:t xml:space="preserve"> in combination with anlotinib in advanced NSCLC. As of May 20, 2022, 76 patients who had not previously received systemic anticancer therapy were enrolled. In the </w:t>
      </w:r>
      <w:r>
        <w:rPr>
          <w:rFonts w:hint="eastAsia" w:ascii="Times New Roman" w:hAnsi="Times New Roman" w:cs="Times New Roman"/>
          <w:sz w:val="24"/>
        </w:rPr>
        <w:t>10 mg/kg every 3 weeks (Q3W)</w:t>
      </w:r>
      <w:r>
        <w:rPr>
          <w:rFonts w:hint="default" w:ascii="Times New Roman" w:hAnsi="Times New Roman" w:cs="Times New Roman"/>
          <w:sz w:val="24"/>
          <w:lang w:val="en-US"/>
        </w:rPr>
        <w:t xml:space="preserve"> </w:t>
      </w:r>
      <w:r>
        <w:rPr>
          <w:rFonts w:ascii="Times New Roman" w:hAnsi="Times New Roman" w:cs="Times New Roman"/>
          <w:sz w:val="24"/>
        </w:rPr>
        <w:t>cohort, median PFS and OS in first-line patients had not yet been reached; the 6-month PFS and OS rates were 75.8% and 94.1%, respectively. Among PD-L1–positive patients, the confirmed ORR was 61.1% (11/18) and the DCR was 94.4% (17/18). In the 15 mg/kg Q3W cohort, the median PFS in first-line patients was 8.8 months (95% CI, 6.9–NE), and the median OS was 15.1 months (95% CI, 9.9–NE). Among PD-L1–positive patients, the confirmed ORR was 54.2% (13/24) with a DCR of 95.8% (23/24), while in PD-L1–negative patients, the confirmed ORR was 41.7% (10/24) and the DCR was 91.7% (22/24). Additionally, in 21 NSCLC patients who had failed prior PD-1/L1 inhibitor ± chemotherapy, the median PFS was 7.1 months (95% CI, 2.7–10.9). Among 13 patients with prior tyrosine kinase inhibitor (TKI) failure, the DCR was 84.6% (11/13).</w:t>
      </w:r>
    </w:p>
    <w:p w14:paraId="55FA8482">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 xml:space="preserve">As of June 28, 2022, safety data for </w:t>
      </w:r>
      <w:r>
        <w:rPr>
          <w:rFonts w:ascii="Times New Roman" w:hAnsi="Times New Roman" w:cs="Times New Roman"/>
          <w:sz w:val="24"/>
          <w:lang w:val="en-US"/>
        </w:rPr>
        <w:t>Cadonilimab</w:t>
      </w:r>
      <w:r>
        <w:rPr>
          <w:rFonts w:ascii="Times New Roman" w:hAnsi="Times New Roman" w:cs="Times New Roman"/>
          <w:sz w:val="24"/>
        </w:rPr>
        <w:t xml:space="preserve"> were derived from four monotherapy clinical studies (AK104-101 [N=119], AK104-201 [N=240], AK104-202 [N=68], and AK104-204 [N=31]), involving a total of 458 patients with various tumor types, including cervical cancer (N=122), NSCLC (N=76), nasopharyngeal carcinoma (N=31), hepatocellular carcinoma (N=29), esophageal cancer (N=26), mesothelioma (N=22), melanoma (N=21), colorectal cancer (N=16), gastric cancer, and others. Among these, 325 patients received </w:t>
      </w:r>
      <w:r>
        <w:rPr>
          <w:rFonts w:ascii="Times New Roman" w:hAnsi="Times New Roman" w:cs="Times New Roman"/>
          <w:sz w:val="24"/>
          <w:lang w:val="en-US"/>
        </w:rPr>
        <w:t>Cadonilimab</w:t>
      </w:r>
      <w:r>
        <w:rPr>
          <w:rFonts w:ascii="Times New Roman" w:hAnsi="Times New Roman" w:cs="Times New Roman"/>
          <w:sz w:val="24"/>
        </w:rPr>
        <w:t xml:space="preserve"> at 6 mg/kg every two weeks, while 133 patients were treated with other dosing regimens. The median treatment duration was 85 days (range: 14–902 days), with a median of six doses administered (range: 1–52). A total of 47.4% of patients received </w:t>
      </w:r>
      <w:r>
        <w:rPr>
          <w:rFonts w:ascii="Times New Roman" w:hAnsi="Times New Roman" w:cs="Times New Roman"/>
          <w:sz w:val="24"/>
          <w:lang w:val="en-US"/>
        </w:rPr>
        <w:t>Cadonilimab</w:t>
      </w:r>
      <w:r>
        <w:rPr>
          <w:rFonts w:ascii="Times New Roman" w:hAnsi="Times New Roman" w:cs="Times New Roman"/>
          <w:sz w:val="24"/>
        </w:rPr>
        <w:t xml:space="preserve"> monotherapy for ≥3 months.</w:t>
      </w:r>
    </w:p>
    <w:p w14:paraId="3DC2A1F1">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 xml:space="preserve">Among the 458 patients treated, the incidence of TRAEs of any grade was 83.6%. AEs with an incidence of ≥10% included rash (23.1%), anemia (16.4%), hypothyroidism (16.2%), elevated aspartate aminotransferase (AST) (14.6%), elevated alanine aminotransferase (ALT) (13.8%), pruritus (10.9%), fatigue (10.3%), and proteinuria (10.0%). Grade ≥3 AEs occurred in 20.3% of patients, with events of ≥1% incidence including infusion-related reactions (2.2%, including infusion-related reactions and infusion-related hypersensitivity) and anemia (2.0%). These preliminary results indicate that </w:t>
      </w:r>
      <w:r>
        <w:rPr>
          <w:rFonts w:ascii="Times New Roman" w:hAnsi="Times New Roman" w:cs="Times New Roman"/>
          <w:sz w:val="24"/>
          <w:lang w:val="en-US"/>
        </w:rPr>
        <w:t>Cadonilimab</w:t>
      </w:r>
      <w:r>
        <w:rPr>
          <w:rFonts w:ascii="Times New Roman" w:hAnsi="Times New Roman" w:cs="Times New Roman"/>
          <w:sz w:val="24"/>
        </w:rPr>
        <w:t xml:space="preserve"> demonstrates a favorable safety and tolerability profile, as well as antitumor activity.</w:t>
      </w:r>
    </w:p>
    <w:p w14:paraId="724B1ED5">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 xml:space="preserve">However, there are currently no clinical trial data on </w:t>
      </w:r>
      <w:r>
        <w:rPr>
          <w:rFonts w:ascii="Times New Roman" w:hAnsi="Times New Roman" w:cs="Times New Roman"/>
          <w:sz w:val="24"/>
          <w:lang w:val="en-US"/>
        </w:rPr>
        <w:t>Cadonilimab</w:t>
      </w:r>
      <w:r>
        <w:rPr>
          <w:rFonts w:ascii="Times New Roman" w:hAnsi="Times New Roman" w:cs="Times New Roman"/>
          <w:sz w:val="24"/>
        </w:rPr>
        <w:t xml:space="preserve"> in combination with chemotherapy as part of a comprehensive treatment strategy for </w:t>
      </w:r>
      <w:r>
        <w:rPr>
          <w:rFonts w:ascii="Times New Roman" w:hAnsi="Times New Roman" w:cs="Times New Roman"/>
          <w:sz w:val="24"/>
          <w:lang w:val="en-US"/>
        </w:rPr>
        <w:t xml:space="preserve">stage III </w:t>
      </w:r>
      <w:r>
        <w:rPr>
          <w:rFonts w:ascii="Times New Roman" w:hAnsi="Times New Roman" w:cs="Times New Roman"/>
          <w:sz w:val="24"/>
        </w:rPr>
        <w:t xml:space="preserve">NSCLC. Several phase III studies investigating dual immune checkpoint blockade combined with chemoradiotherapy in patients with </w:t>
      </w:r>
      <w:r>
        <w:rPr>
          <w:rFonts w:ascii="Times New Roman" w:hAnsi="Times New Roman" w:cs="Times New Roman"/>
          <w:sz w:val="24"/>
          <w:lang w:val="en-US"/>
        </w:rPr>
        <w:t xml:space="preserve">stage III </w:t>
      </w:r>
      <w:r>
        <w:rPr>
          <w:rFonts w:ascii="Times New Roman" w:hAnsi="Times New Roman" w:cs="Times New Roman"/>
          <w:sz w:val="24"/>
        </w:rPr>
        <w:t xml:space="preserve">NSCLC are ongoing. The present study aims to evaluate the efficacy and safety of the PD-1 × CTLA-4 bispecific antibody </w:t>
      </w:r>
      <w:r>
        <w:rPr>
          <w:rFonts w:ascii="Times New Roman" w:hAnsi="Times New Roman" w:cs="Times New Roman"/>
          <w:sz w:val="24"/>
          <w:lang w:val="en-US"/>
        </w:rPr>
        <w:t>Cadonilimab</w:t>
      </w:r>
      <w:r>
        <w:rPr>
          <w:rFonts w:ascii="Times New Roman" w:hAnsi="Times New Roman" w:cs="Times New Roman"/>
          <w:sz w:val="24"/>
        </w:rPr>
        <w:t xml:space="preserve"> in combination with chemotherapy as induction and consolidation therapy for patients with unresectable </w:t>
      </w:r>
      <w:r>
        <w:rPr>
          <w:rFonts w:ascii="Times New Roman" w:hAnsi="Times New Roman" w:cs="Times New Roman"/>
          <w:sz w:val="24"/>
          <w:lang w:val="en-US"/>
        </w:rPr>
        <w:t xml:space="preserve">stage III </w:t>
      </w:r>
      <w:r>
        <w:rPr>
          <w:rFonts w:ascii="Times New Roman" w:hAnsi="Times New Roman" w:cs="Times New Roman"/>
          <w:sz w:val="24"/>
        </w:rPr>
        <w:t>NSCLC.</w:t>
      </w:r>
    </w:p>
    <w:p w14:paraId="4E5AB211">
      <w:pPr>
        <w:pStyle w:val="2"/>
        <w:spacing w:line="360" w:lineRule="auto"/>
        <w:ind w:firstLineChars="200"/>
        <w:rPr>
          <w:rFonts w:ascii="Times New Roman" w:hAnsi="Times New Roman" w:cs="Times New Roman"/>
        </w:rPr>
      </w:pPr>
      <w:bookmarkStart w:id="31" w:name="_Toc372106647"/>
      <w:bookmarkStart w:id="32" w:name="_Toc835231773"/>
      <w:r>
        <w:rPr>
          <w:rFonts w:ascii="Times New Roman" w:hAnsi="Times New Roman" w:cs="Times New Roman"/>
        </w:rPr>
        <w:t>2 Objectives</w:t>
      </w:r>
      <w:bookmarkEnd w:id="31"/>
      <w:bookmarkEnd w:id="32"/>
    </w:p>
    <w:p w14:paraId="27D948FA">
      <w:pPr>
        <w:pStyle w:val="4"/>
        <w:spacing w:line="360" w:lineRule="auto"/>
        <w:ind w:firstLineChars="200"/>
        <w:rPr>
          <w:rFonts w:hint="default" w:ascii="Times New Roman" w:hAnsi="Times New Roman"/>
        </w:rPr>
      </w:pPr>
      <w:bookmarkStart w:id="33" w:name="_Toc524036065"/>
      <w:r>
        <w:rPr>
          <w:rFonts w:hint="default" w:ascii="Times New Roman" w:hAnsi="Times New Roman"/>
        </w:rPr>
        <w:t>2.1 Study Objective</w:t>
      </w:r>
      <w:bookmarkEnd w:id="33"/>
    </w:p>
    <w:p w14:paraId="447A2887">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 xml:space="preserve">To evaluate the efficacy and safety of </w:t>
      </w:r>
      <w:r>
        <w:rPr>
          <w:rFonts w:ascii="Times New Roman" w:hAnsi="Times New Roman" w:cs="Times New Roman"/>
          <w:sz w:val="24"/>
          <w:lang w:val="en-US"/>
        </w:rPr>
        <w:t>Cadonilimab</w:t>
      </w:r>
      <w:r>
        <w:rPr>
          <w:rFonts w:ascii="Times New Roman" w:hAnsi="Times New Roman" w:cs="Times New Roman"/>
          <w:sz w:val="24"/>
        </w:rPr>
        <w:t xml:space="preserve"> (AK104) as induction and consolidation therapy in patients with </w:t>
      </w:r>
      <w:r>
        <w:rPr>
          <w:rFonts w:ascii="Times New Roman" w:hAnsi="Times New Roman" w:cs="Times New Roman"/>
          <w:sz w:val="24"/>
          <w:lang w:val="en-US"/>
        </w:rPr>
        <w:t xml:space="preserve">stage III </w:t>
      </w:r>
      <w:r>
        <w:rPr>
          <w:rFonts w:ascii="Times New Roman" w:hAnsi="Times New Roman" w:cs="Times New Roman"/>
          <w:sz w:val="24"/>
        </w:rPr>
        <w:t>unresectable non-small cell lung cancer undergoing concurrent chemoradiotherapy.</w:t>
      </w:r>
    </w:p>
    <w:p w14:paraId="4A7DF056">
      <w:pPr>
        <w:pStyle w:val="4"/>
        <w:spacing w:line="360" w:lineRule="auto"/>
        <w:ind w:firstLineChars="200"/>
        <w:rPr>
          <w:rFonts w:hint="default" w:ascii="Times New Roman" w:hAnsi="Times New Roman"/>
        </w:rPr>
      </w:pPr>
      <w:bookmarkStart w:id="34" w:name="_Toc643708108"/>
      <w:r>
        <w:rPr>
          <w:rFonts w:hint="default" w:ascii="Times New Roman" w:hAnsi="Times New Roman"/>
        </w:rPr>
        <w:t>2.2 Primary Endpoints</w:t>
      </w:r>
      <w:bookmarkEnd w:id="34"/>
    </w:p>
    <w:p w14:paraId="5E7DDEDF">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 xml:space="preserve">1-year PFS rate in the modified intention-to-treat (ITT) population (PFS1): The proportion of patients who did not experience disease progression or death within one year from the date of enrollment in the modified ITT population. Notably, the modified ITT population refers to all patients who received at least one dose of induction </w:t>
      </w:r>
      <w:r>
        <w:rPr>
          <w:rFonts w:ascii="Times New Roman" w:hAnsi="Times New Roman" w:cs="Times New Roman"/>
          <w:sz w:val="24"/>
          <w:lang w:val="en-US"/>
        </w:rPr>
        <w:t>Cadonilimab</w:t>
      </w:r>
      <w:r>
        <w:rPr>
          <w:rFonts w:ascii="Times New Roman" w:hAnsi="Times New Roman" w:cs="Times New Roman"/>
          <w:sz w:val="24"/>
        </w:rPr>
        <w:t xml:space="preserve"> therapy. Moreover, PFS1 would be calculate from the enrollment to the initial disease progression or death due to any cause. </w:t>
      </w:r>
    </w:p>
    <w:p w14:paraId="1D7A08CA">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 xml:space="preserve">1-year PFS rate in the immune consolidation candidate population (PFS2): The proportion of patients who did not experience disease progression or death within one year from the completion of cCRT in the immune consolidation candidate population. Notably, the immune consolidation candidate population was defined as patients who did not develop progressive disease, without non-resolved ≥ grade 2 non-hematologic toxicities and deemed eligible to receive </w:t>
      </w:r>
      <w:r>
        <w:rPr>
          <w:rFonts w:ascii="Times New Roman" w:hAnsi="Times New Roman" w:cs="Times New Roman"/>
          <w:sz w:val="24"/>
          <w:lang w:val="en-US"/>
        </w:rPr>
        <w:t>Cadonilimab</w:t>
      </w:r>
      <w:r>
        <w:rPr>
          <w:rFonts w:ascii="Times New Roman" w:hAnsi="Times New Roman" w:cs="Times New Roman"/>
          <w:sz w:val="24"/>
        </w:rPr>
        <w:t xml:space="preserve"> consolidation therapy after the completion of cCRT. Moreover, PFS2 would be calculate from the completion of cCRT to the initial disease progression or death due to any cause. </w:t>
      </w:r>
    </w:p>
    <w:p w14:paraId="4236E577">
      <w:pPr>
        <w:pStyle w:val="4"/>
        <w:spacing w:line="360" w:lineRule="auto"/>
        <w:ind w:firstLineChars="200"/>
        <w:rPr>
          <w:rFonts w:hint="default" w:ascii="Times New Roman" w:hAnsi="Times New Roman"/>
        </w:rPr>
      </w:pPr>
      <w:bookmarkStart w:id="35" w:name="_Toc1927041217"/>
      <w:r>
        <w:rPr>
          <w:rFonts w:hint="default" w:ascii="Times New Roman" w:hAnsi="Times New Roman"/>
        </w:rPr>
        <w:t>2.3 Secondary Endpoints</w:t>
      </w:r>
      <w:bookmarkEnd w:id="35"/>
    </w:p>
    <w:p w14:paraId="56FA3900">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ORR prior to cCRT: the proportion of patients achieving complete response</w:t>
      </w:r>
      <w:r>
        <w:rPr>
          <w:rFonts w:hint="default" w:ascii="Times New Roman" w:hAnsi="Times New Roman" w:cs="Times New Roman"/>
          <w:sz w:val="24"/>
          <w:lang w:val="en-US"/>
        </w:rPr>
        <w:t xml:space="preserve"> </w:t>
      </w:r>
      <w:r>
        <w:rPr>
          <w:rFonts w:ascii="Times New Roman" w:hAnsi="Times New Roman" w:eastAsia="宋体" w:cs="Times New Roman"/>
          <w:color w:val="000000"/>
          <w:kern w:val="0"/>
          <w:sz w:val="24"/>
          <w:lang w:bidi="ar"/>
        </w:rPr>
        <w:t>(</w:t>
      </w:r>
      <w:r>
        <w:rPr>
          <w:rFonts w:ascii="Times New Roman" w:hAnsi="Times New Roman" w:cs="Times New Roman"/>
          <w:sz w:val="24"/>
        </w:rPr>
        <w:t xml:space="preserve">CR) or partial response (PR) after two cycles of </w:t>
      </w:r>
      <w:r>
        <w:rPr>
          <w:rFonts w:ascii="Times New Roman" w:hAnsi="Times New Roman" w:cs="Times New Roman"/>
          <w:sz w:val="24"/>
          <w:lang w:val="en-US"/>
        </w:rPr>
        <w:t>Cadonilimab</w:t>
      </w:r>
      <w:r>
        <w:rPr>
          <w:rFonts w:ascii="Times New Roman" w:hAnsi="Times New Roman" w:cs="Times New Roman"/>
          <w:sz w:val="24"/>
        </w:rPr>
        <w:t xml:space="preserve"> plus chemotherapy in the modified ITT population, according to the Response Evaluation Criteria in Solid Tumors (RECIST) v1.1 criteria.</w:t>
      </w:r>
    </w:p>
    <w:p w14:paraId="06699625">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 xml:space="preserve">Overall ORR: the proportion of patients achieving </w:t>
      </w:r>
      <w:r>
        <w:rPr>
          <w:rFonts w:hint="default" w:ascii="Times New Roman" w:hAnsi="Times New Roman" w:eastAsia="宋体" w:cs="Times New Roman"/>
          <w:color w:val="000000"/>
          <w:kern w:val="0"/>
          <w:sz w:val="24"/>
          <w:lang w:val="en-US" w:bidi="ar"/>
        </w:rPr>
        <w:t>CR</w:t>
      </w:r>
      <w:r>
        <w:rPr>
          <w:rFonts w:ascii="Times New Roman" w:hAnsi="Times New Roman" w:cs="Times New Roman"/>
          <w:sz w:val="24"/>
        </w:rPr>
        <w:t xml:space="preserve"> or PR as the best overall response following the full study treatment regimen (induction immunotherapy, cCRT, and consolidation immunotherapy) in the modified ITT population, according to RECIST v1.1 criteria.</w:t>
      </w:r>
    </w:p>
    <w:p w14:paraId="1DAAC96F">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 xml:space="preserve">DCR prior to cCRT: the proportion of patients achieving CR, PR, or stable disease (SD) after two cycles of </w:t>
      </w:r>
      <w:r>
        <w:rPr>
          <w:rFonts w:ascii="Times New Roman" w:hAnsi="Times New Roman" w:cs="Times New Roman"/>
          <w:sz w:val="24"/>
          <w:lang w:val="en-US"/>
        </w:rPr>
        <w:t>Cadonilimab</w:t>
      </w:r>
      <w:r>
        <w:rPr>
          <w:rFonts w:ascii="Times New Roman" w:hAnsi="Times New Roman" w:cs="Times New Roman"/>
          <w:sz w:val="24"/>
        </w:rPr>
        <w:t xml:space="preserve"> plus chemotherapy in the modified ITT population, according to RECIST v1.1 criteria.</w:t>
      </w:r>
    </w:p>
    <w:p w14:paraId="0BE844EE">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Overall DCR: the proportion of patients achieving CR, PR or SD, as the best overall response following the full study treatment regimen (induction immunotherapy, cCRT, and consolidation immunotherapy) in the modified ITT population, according to RECIST v1.1 criteria.</w:t>
      </w:r>
    </w:p>
    <w:p w14:paraId="4D70EAB8">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 xml:space="preserve">Proportion of patients receiving consolidation immunotherapy: The proportion of patients in the modified ITT population who received at least one dose of </w:t>
      </w:r>
      <w:r>
        <w:rPr>
          <w:rFonts w:ascii="Times New Roman" w:hAnsi="Times New Roman" w:cs="Times New Roman"/>
          <w:sz w:val="24"/>
          <w:lang w:val="en-US"/>
        </w:rPr>
        <w:t>Cadonilimab</w:t>
      </w:r>
      <w:r>
        <w:rPr>
          <w:rFonts w:ascii="Times New Roman" w:hAnsi="Times New Roman" w:cs="Times New Roman"/>
          <w:sz w:val="24"/>
        </w:rPr>
        <w:t xml:space="preserve"> consolidation therapy.</w:t>
      </w:r>
      <w:r>
        <w:rPr>
          <w:rFonts w:hint="default" w:ascii="Times New Roman" w:hAnsi="Times New Roman" w:cs="Times New Roman"/>
          <w:sz w:val="24"/>
          <w:lang w:val="en-US"/>
        </w:rPr>
        <w:t xml:space="preserve"> </w:t>
      </w:r>
      <w:r>
        <w:rPr>
          <w:rFonts w:ascii="Times New Roman" w:hAnsi="Times New Roman" w:cs="Times New Roman"/>
          <w:sz w:val="24"/>
        </w:rPr>
        <w:t>OS: Time from the date of enrollment until death from any cause in the modified ITT population. Patients still alive at the time of analysis will be censored at the date of last contact.Incidence of TRAEs: The proportion of patients experiencing treatment-related toxicities in the modified ITT population as assessed according to Common Terminology Criteria for Adverse Events (CTCAE) v5.0.</w:t>
      </w:r>
    </w:p>
    <w:p w14:paraId="55021421">
      <w:pPr>
        <w:pStyle w:val="4"/>
        <w:spacing w:line="360" w:lineRule="auto"/>
        <w:ind w:firstLineChars="200"/>
        <w:rPr>
          <w:rFonts w:hint="default" w:ascii="Times New Roman" w:hAnsi="Times New Roman"/>
        </w:rPr>
      </w:pPr>
      <w:bookmarkStart w:id="36" w:name="_Toc1580853712"/>
      <w:r>
        <w:rPr>
          <w:rFonts w:hint="default" w:ascii="Times New Roman" w:hAnsi="Times New Roman"/>
        </w:rPr>
        <w:t>2.4 Exploratory Endpoints</w:t>
      </w:r>
      <w:bookmarkEnd w:id="36"/>
    </w:p>
    <w:p w14:paraId="21A859A1">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This study requires the collection of peripheral blood and/or tumor tissue at predefined time points for protocol-specified analyses to explore predictive and prognostic biomarkers related to treatment efficacy, survival outcomes, and TRAEs. Core tumor biopsy samples will be obtained prior to the initiation of therapy, while peripheral blood will be collected at the following time points: before treatment initiation, after two cycles of induction therapy (prior to cCRT), after the completion of cCRT (prior to consolidation therapy), every 3 months during consolidation therapy and at the time of disease progression. Specific instructions for biospecimen collection are detailed in the Correlative Sciences Manuals. Tumor tissue samples will undergo multi-omics sequencing and multiplex immunofluorescence staining, while peripheral blood will be analyzed using flow cytometry and cytokine assays. These exploratory studies aim to identify predictive and prognostic factors for both efficacy and toxicity of the combined treatment strategy.</w:t>
      </w:r>
    </w:p>
    <w:p w14:paraId="769B9C2B">
      <w:pPr>
        <w:pStyle w:val="2"/>
        <w:spacing w:line="360" w:lineRule="auto"/>
        <w:ind w:firstLineChars="200"/>
        <w:rPr>
          <w:rFonts w:ascii="Times New Roman" w:hAnsi="Times New Roman" w:cs="Times New Roman"/>
        </w:rPr>
      </w:pPr>
      <w:bookmarkStart w:id="37" w:name="_Toc740656900"/>
      <w:bookmarkStart w:id="38" w:name="_Toc1787292019"/>
      <w:r>
        <w:rPr>
          <w:rFonts w:ascii="Times New Roman" w:hAnsi="Times New Roman" w:cs="Times New Roman"/>
        </w:rPr>
        <w:t>3 Study Design</w:t>
      </w:r>
      <w:bookmarkEnd w:id="37"/>
      <w:bookmarkEnd w:id="38"/>
    </w:p>
    <w:p w14:paraId="4DF88258">
      <w:pPr>
        <w:pStyle w:val="4"/>
        <w:spacing w:line="360" w:lineRule="auto"/>
        <w:ind w:firstLineChars="200"/>
        <w:rPr>
          <w:rFonts w:hint="default" w:ascii="Times New Roman" w:hAnsi="Times New Roman"/>
        </w:rPr>
      </w:pPr>
      <w:bookmarkStart w:id="39" w:name="_Toc1405300288"/>
      <w:r>
        <w:rPr>
          <w:rFonts w:hint="default" w:ascii="Times New Roman" w:hAnsi="Times New Roman"/>
        </w:rPr>
        <w:t>3.1 Study Design</w:t>
      </w:r>
      <w:bookmarkEnd w:id="39"/>
    </w:p>
    <w:p w14:paraId="1EC792EE">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 xml:space="preserve">This is a prospective, phase II, single-arm study evaluating patients with unresectable or </w:t>
      </w:r>
      <w:r>
        <w:rPr>
          <w:rFonts w:ascii="Times New Roman" w:hAnsi="Times New Roman" w:cs="Times New Roman"/>
          <w:sz w:val="24"/>
          <w:lang w:val="en-US"/>
        </w:rPr>
        <w:t xml:space="preserve">stage III </w:t>
      </w:r>
      <w:r>
        <w:rPr>
          <w:rFonts w:ascii="Times New Roman" w:hAnsi="Times New Roman" w:cs="Times New Roman"/>
          <w:sz w:val="24"/>
        </w:rPr>
        <w:t xml:space="preserve">NSCLC who are receiving cCRT. A total of 41 patients will be enrolled. All participants will receive two cycles of induction therapy compromising </w:t>
      </w:r>
      <w:r>
        <w:rPr>
          <w:rFonts w:ascii="Times New Roman" w:hAnsi="Times New Roman" w:cs="Times New Roman"/>
          <w:sz w:val="24"/>
          <w:lang w:val="en-US"/>
        </w:rPr>
        <w:t>Cadonilimab</w:t>
      </w:r>
      <w:r>
        <w:rPr>
          <w:rFonts w:ascii="Times New Roman" w:hAnsi="Times New Roman" w:cs="Times New Roman"/>
          <w:sz w:val="24"/>
        </w:rPr>
        <w:t xml:space="preserve"> plus platinum-based chemotherapy, followed by standard cCRT (definitive thoracic radiotherapy plus 2 cycles of concurrent platinum-based chemotherapy). Subsequently, patients will receive </w:t>
      </w:r>
      <w:r>
        <w:rPr>
          <w:rFonts w:ascii="Times New Roman" w:hAnsi="Times New Roman" w:cs="Times New Roman"/>
          <w:sz w:val="24"/>
          <w:lang w:val="en-US"/>
        </w:rPr>
        <w:t>Cadonilimab</w:t>
      </w:r>
      <w:r>
        <w:rPr>
          <w:rFonts w:ascii="Times New Roman" w:hAnsi="Times New Roman" w:cs="Times New Roman"/>
          <w:sz w:val="24"/>
        </w:rPr>
        <w:t xml:space="preserve"> consolidation therapy for up to one year, or until disease progression, unacceptable toxicity, death, withdrawal of informed consent, whichever occurs first.</w:t>
      </w:r>
    </w:p>
    <w:p w14:paraId="7BAE5D73">
      <w:pPr>
        <w:pStyle w:val="4"/>
        <w:spacing w:line="360" w:lineRule="auto"/>
        <w:ind w:firstLineChars="200"/>
        <w:rPr>
          <w:rFonts w:hint="default" w:ascii="Times New Roman" w:hAnsi="Times New Roman"/>
        </w:rPr>
      </w:pPr>
      <w:bookmarkStart w:id="40" w:name="_Toc856790710"/>
      <w:r>
        <w:rPr>
          <w:rFonts w:hint="default" w:ascii="Times New Roman" w:hAnsi="Times New Roman"/>
        </w:rPr>
        <w:t>3.2 Study Diagram</w:t>
      </w:r>
      <w:bookmarkEnd w:id="40"/>
    </w:p>
    <w:p w14:paraId="0BA7B8E1">
      <w:pPr>
        <w:spacing w:before="156" w:beforeLines="50" w:line="360" w:lineRule="auto"/>
        <w:ind w:firstLine="420" w:firstLineChars="200"/>
        <w:jc w:val="center"/>
        <w:rPr>
          <w:rFonts w:ascii="Times New Roman" w:hAnsi="Times New Roman" w:cs="Times New Roman"/>
          <w:b/>
          <w:bCs/>
          <w:szCs w:val="21"/>
        </w:rPr>
      </w:pPr>
      <w:r>
        <w:drawing>
          <wp:inline distT="0" distB="0" distL="114300" distR="114300">
            <wp:extent cx="5272405" cy="1758950"/>
            <wp:effectExtent l="0" t="0" r="10795" b="190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2405" cy="1758950"/>
                    </a:xfrm>
                    <a:prstGeom prst="rect">
                      <a:avLst/>
                    </a:prstGeom>
                    <a:noFill/>
                    <a:ln>
                      <a:noFill/>
                    </a:ln>
                  </pic:spPr>
                </pic:pic>
              </a:graphicData>
            </a:graphic>
          </wp:inline>
        </w:drawing>
      </w:r>
      <w:r>
        <w:rPr>
          <w:rFonts w:ascii="Times New Roman" w:hAnsi="Times New Roman" w:cs="Times New Roman"/>
          <w:b/>
          <w:bCs/>
          <w:szCs w:val="21"/>
        </w:rPr>
        <w:t>Figure.1 Study Design Flowchart</w:t>
      </w:r>
    </w:p>
    <w:p w14:paraId="21D84A20">
      <w:pPr>
        <w:pStyle w:val="2"/>
        <w:spacing w:line="360" w:lineRule="auto"/>
        <w:ind w:firstLineChars="200"/>
        <w:rPr>
          <w:rFonts w:ascii="Times New Roman" w:hAnsi="Times New Roman" w:cs="Times New Roman"/>
        </w:rPr>
      </w:pPr>
      <w:bookmarkStart w:id="41" w:name="_Toc15709097"/>
      <w:bookmarkStart w:id="42" w:name="_Toc1203609835"/>
      <w:r>
        <w:rPr>
          <w:rFonts w:ascii="Times New Roman" w:hAnsi="Times New Roman" w:cs="Times New Roman"/>
        </w:rPr>
        <w:t>4 Patient Selection</w:t>
      </w:r>
      <w:bookmarkEnd w:id="41"/>
      <w:bookmarkEnd w:id="42"/>
    </w:p>
    <w:p w14:paraId="0E82149F">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Male/Female participants with unresectable, locally advanced Stage III NSCLC, and are at least 18 years of age will be enrolled in this study. Prospective approval of protocol deviations to recruitment and enrollment criteria, also known as protocol waivers or exemptions, is not permitted.</w:t>
      </w:r>
    </w:p>
    <w:p w14:paraId="67B6EF62">
      <w:pPr>
        <w:pStyle w:val="4"/>
        <w:spacing w:line="360" w:lineRule="auto"/>
        <w:ind w:firstLineChars="200"/>
        <w:rPr>
          <w:rFonts w:hint="default" w:ascii="Times New Roman" w:hAnsi="Times New Roman"/>
        </w:rPr>
      </w:pPr>
      <w:bookmarkStart w:id="43" w:name="_Toc1922025752"/>
      <w:r>
        <w:rPr>
          <w:rFonts w:hint="default" w:ascii="Times New Roman" w:hAnsi="Times New Roman"/>
        </w:rPr>
        <w:t>4.1 Inclusion Criteria</w:t>
      </w:r>
      <w:bookmarkEnd w:id="43"/>
    </w:p>
    <w:p w14:paraId="4D77A977">
      <w:pPr>
        <w:numPr>
          <w:ilvl w:val="0"/>
          <w:numId w:val="0"/>
        </w:numPr>
        <w:spacing w:before="156" w:beforeLines="50" w:line="360" w:lineRule="auto"/>
        <w:ind w:left="0" w:firstLine="480" w:firstLineChars="200"/>
        <w:rPr>
          <w:rFonts w:ascii="Times New Roman" w:hAnsi="Times New Roman" w:cs="Times New Roman"/>
          <w:sz w:val="24"/>
        </w:rPr>
      </w:pPr>
      <w:r>
        <w:rPr>
          <w:rFonts w:ascii="Times New Roman" w:hAnsi="Times New Roman" w:cs="Times New Roman"/>
          <w:sz w:val="24"/>
        </w:rPr>
        <w:t>Participants are eligible to be included in the study only if all of the following criteria apply:</w:t>
      </w:r>
    </w:p>
    <w:p w14:paraId="5B8EF202">
      <w:pPr>
        <w:numPr>
          <w:ilvl w:val="0"/>
          <w:numId w:val="1"/>
        </w:numPr>
        <w:spacing w:before="156" w:beforeLines="50" w:line="360" w:lineRule="auto"/>
        <w:ind w:left="420" w:firstLine="480" w:firstLineChars="200"/>
        <w:rPr>
          <w:rFonts w:ascii="Times New Roman" w:hAnsi="Times New Roman" w:cs="Times New Roman"/>
          <w:sz w:val="24"/>
        </w:rPr>
      </w:pPr>
      <w:r>
        <w:rPr>
          <w:rFonts w:ascii="Times New Roman" w:hAnsi="Times New Roman" w:cs="Times New Roman"/>
          <w:sz w:val="24"/>
        </w:rPr>
        <w:t>Male/female participants, who are at least 18 years of age on the day of signing informed consent with previously untreated, unresectable, pathologically confirmed NSCLC and Stage IIIA, IIIB or IIIC NSCLC by American Joint Committee on Cancer (AJCC) Version 8.</w:t>
      </w:r>
    </w:p>
    <w:p w14:paraId="502FD618">
      <w:pPr>
        <w:numPr>
          <w:ilvl w:val="0"/>
          <w:numId w:val="1"/>
        </w:numPr>
        <w:spacing w:before="156" w:beforeLines="50" w:line="360" w:lineRule="auto"/>
        <w:ind w:left="420" w:firstLine="480" w:firstLineChars="200"/>
        <w:rPr>
          <w:rFonts w:ascii="Times New Roman" w:hAnsi="Times New Roman" w:cs="Times New Roman"/>
          <w:sz w:val="24"/>
        </w:rPr>
      </w:pPr>
      <w:r>
        <w:rPr>
          <w:rFonts w:ascii="Times New Roman" w:hAnsi="Times New Roman" w:cs="Times New Roman"/>
          <w:sz w:val="24"/>
        </w:rPr>
        <w:t>No evidence of metastatic disease by whole body positron emission tomography (PET)/ computed tomography (CT) scan, diagnostic quality CT scan, and brain imaging.</w:t>
      </w:r>
    </w:p>
    <w:p w14:paraId="2017129B">
      <w:pPr>
        <w:numPr>
          <w:ilvl w:val="0"/>
          <w:numId w:val="1"/>
        </w:numPr>
        <w:spacing w:before="156" w:beforeLines="50" w:line="360" w:lineRule="auto"/>
        <w:ind w:left="420" w:firstLine="480" w:firstLineChars="200"/>
        <w:rPr>
          <w:rFonts w:ascii="Times New Roman" w:hAnsi="Times New Roman" w:cs="Times New Roman"/>
          <w:sz w:val="24"/>
        </w:rPr>
      </w:pPr>
      <w:r>
        <w:rPr>
          <w:rFonts w:ascii="Times New Roman" w:hAnsi="Times New Roman" w:cs="Times New Roman"/>
          <w:sz w:val="24"/>
        </w:rPr>
        <w:t>Have measurable disease per RECIST 1.1 as assessed by the local site investigator radiology.</w:t>
      </w:r>
    </w:p>
    <w:p w14:paraId="7273A1F0">
      <w:pPr>
        <w:numPr>
          <w:ilvl w:val="0"/>
          <w:numId w:val="1"/>
        </w:numPr>
        <w:spacing w:before="156" w:beforeLines="50" w:line="360" w:lineRule="auto"/>
        <w:ind w:left="420" w:firstLine="480" w:firstLineChars="200"/>
        <w:rPr>
          <w:rFonts w:ascii="Times New Roman" w:hAnsi="Times New Roman" w:cs="Times New Roman"/>
          <w:sz w:val="24"/>
        </w:rPr>
      </w:pPr>
      <w:r>
        <w:rPr>
          <w:rFonts w:ascii="Times New Roman" w:hAnsi="Times New Roman" w:cs="Times New Roman"/>
          <w:sz w:val="24"/>
        </w:rPr>
        <w:t>No known sensitizing epidermal growth factor receptor (EGFR), anaplastic lymphoma kinase (ALK), or ROS proto-oncogene 1 (ROS1) mutations.</w:t>
      </w:r>
    </w:p>
    <w:p w14:paraId="4EDC43DD">
      <w:pPr>
        <w:numPr>
          <w:ilvl w:val="0"/>
          <w:numId w:val="1"/>
        </w:numPr>
        <w:spacing w:before="156" w:beforeLines="50" w:line="360" w:lineRule="auto"/>
        <w:ind w:left="420" w:firstLine="480" w:firstLineChars="200"/>
        <w:rPr>
          <w:rFonts w:ascii="Times New Roman" w:hAnsi="Times New Roman" w:cs="Times New Roman"/>
          <w:sz w:val="24"/>
        </w:rPr>
      </w:pPr>
      <w:r>
        <w:rPr>
          <w:rFonts w:ascii="Times New Roman" w:hAnsi="Times New Roman" w:cs="Times New Roman"/>
          <w:sz w:val="24"/>
        </w:rPr>
        <w:t>Estimated life expectancy &gt;3 months.</w:t>
      </w:r>
    </w:p>
    <w:p w14:paraId="54560E1D">
      <w:pPr>
        <w:numPr>
          <w:ilvl w:val="0"/>
          <w:numId w:val="1"/>
        </w:numPr>
        <w:spacing w:before="156" w:beforeLines="50" w:line="360" w:lineRule="auto"/>
        <w:ind w:left="420" w:firstLine="480" w:firstLineChars="200"/>
        <w:rPr>
          <w:rFonts w:ascii="Times New Roman" w:hAnsi="Times New Roman" w:cs="Times New Roman"/>
          <w:sz w:val="24"/>
        </w:rPr>
      </w:pPr>
      <w:r>
        <w:rPr>
          <w:rFonts w:ascii="Times New Roman" w:hAnsi="Times New Roman" w:cs="Times New Roman"/>
          <w:sz w:val="24"/>
        </w:rPr>
        <w:t>Have an Eastern Cooperative Oncology Group (ECOG) Performance Status (PS) of 0 or 1.</w:t>
      </w:r>
    </w:p>
    <w:p w14:paraId="3E8E2BA9">
      <w:pPr>
        <w:numPr>
          <w:ilvl w:val="0"/>
          <w:numId w:val="1"/>
        </w:numPr>
        <w:spacing w:before="156" w:beforeLines="50" w:line="360" w:lineRule="auto"/>
        <w:ind w:left="420" w:firstLine="480" w:firstLineChars="200"/>
        <w:rPr>
          <w:rFonts w:ascii="Times New Roman" w:hAnsi="Times New Roman" w:cs="Times New Roman"/>
          <w:sz w:val="24"/>
        </w:rPr>
      </w:pPr>
      <w:r>
        <w:rPr>
          <w:rFonts w:ascii="Times New Roman" w:hAnsi="Times New Roman" w:cs="Times New Roman"/>
          <w:sz w:val="24"/>
        </w:rPr>
        <w:t>Adequate hematologic and end organ function, defined by the following laboratory results obtained within 14 days prior to the first study treatment (Cycle 1, Day 1; if repeat labs are obtained on or prior to C1D1 must re-meet eligibility criteria to treat the subject). Have adequate organ function as defined in Table 2.</w:t>
      </w:r>
    </w:p>
    <w:p w14:paraId="1ACE5CF3">
      <w:pPr>
        <w:spacing w:before="156" w:beforeLines="50" w:line="360" w:lineRule="auto"/>
        <w:ind w:firstLine="420" w:firstLineChars="200"/>
        <w:jc w:val="center"/>
        <w:rPr>
          <w:rFonts w:ascii="Times New Roman" w:hAnsi="Times New Roman" w:cs="Times New Roman"/>
          <w:b/>
          <w:bCs/>
          <w:szCs w:val="21"/>
        </w:rPr>
      </w:pPr>
      <w:r>
        <w:rPr>
          <w:rFonts w:ascii="Times New Roman" w:hAnsi="Times New Roman" w:cs="Times New Roman"/>
          <w:b/>
          <w:bCs/>
          <w:szCs w:val="21"/>
        </w:rPr>
        <w:t>Table 2 Adequate Organ Function Laboratory Values</w:t>
      </w:r>
    </w:p>
    <w:tbl>
      <w:tblPr>
        <w:tblStyle w:val="15"/>
        <w:tblW w:w="8240" w:type="dxa"/>
        <w:tblInd w:w="88" w:type="dxa"/>
        <w:tblLayout w:type="autofit"/>
        <w:tblCellMar>
          <w:top w:w="0" w:type="dxa"/>
          <w:left w:w="108" w:type="dxa"/>
          <w:bottom w:w="0" w:type="dxa"/>
          <w:right w:w="108" w:type="dxa"/>
        </w:tblCellMar>
      </w:tblPr>
      <w:tblGrid>
        <w:gridCol w:w="2562"/>
        <w:gridCol w:w="5678"/>
      </w:tblGrid>
      <w:tr w14:paraId="2772B183">
        <w:trPr>
          <w:trHeight w:val="360" w:hRule="atLeast"/>
        </w:trPr>
        <w:tc>
          <w:tcPr>
            <w:tcW w:w="2562" w:type="dxa"/>
            <w:tcBorders>
              <w:top w:val="single" w:color="000000" w:sz="4" w:space="0"/>
              <w:left w:val="single" w:color="000000" w:sz="4" w:space="0"/>
              <w:bottom w:val="single" w:color="000000" w:sz="4" w:space="0"/>
              <w:right w:val="single" w:color="000000" w:sz="4" w:space="0"/>
            </w:tcBorders>
            <w:vAlign w:val="center"/>
          </w:tcPr>
          <w:p w14:paraId="4E3F3B39">
            <w:pPr>
              <w:spacing w:before="156" w:beforeLines="50" w:line="360" w:lineRule="auto"/>
              <w:jc w:val="center"/>
              <w:rPr>
                <w:rFonts w:ascii="Times New Roman" w:hAnsi="Times New Roman" w:cs="Times New Roman"/>
                <w:b/>
                <w:bCs/>
                <w:sz w:val="24"/>
              </w:rPr>
            </w:pPr>
            <w:r>
              <w:rPr>
                <w:rFonts w:ascii="Times New Roman" w:hAnsi="Times New Roman" w:cs="Times New Roman"/>
                <w:b/>
                <w:bCs/>
                <w:sz w:val="24"/>
              </w:rPr>
              <w:t>System</w:t>
            </w:r>
          </w:p>
        </w:tc>
        <w:tc>
          <w:tcPr>
            <w:tcW w:w="5678" w:type="dxa"/>
            <w:tcBorders>
              <w:top w:val="single" w:color="000000" w:sz="4" w:space="0"/>
              <w:left w:val="single" w:color="000000" w:sz="4" w:space="0"/>
              <w:bottom w:val="single" w:color="000000" w:sz="4" w:space="0"/>
              <w:right w:val="single" w:color="000000" w:sz="4" w:space="0"/>
            </w:tcBorders>
            <w:vAlign w:val="center"/>
          </w:tcPr>
          <w:p w14:paraId="2F07B437">
            <w:pPr>
              <w:spacing w:before="156" w:beforeLines="50" w:line="360" w:lineRule="auto"/>
              <w:jc w:val="center"/>
              <w:rPr>
                <w:rFonts w:ascii="Times New Roman" w:hAnsi="Times New Roman" w:cs="Times New Roman"/>
                <w:b/>
                <w:bCs/>
                <w:sz w:val="24"/>
              </w:rPr>
            </w:pPr>
            <w:r>
              <w:rPr>
                <w:rFonts w:ascii="Times New Roman" w:hAnsi="Times New Roman" w:cs="Times New Roman"/>
                <w:b/>
                <w:bCs/>
                <w:sz w:val="24"/>
              </w:rPr>
              <w:t>Laboratory Value</w:t>
            </w:r>
          </w:p>
        </w:tc>
      </w:tr>
      <w:tr w14:paraId="215BCB19">
        <w:trPr>
          <w:trHeight w:val="360" w:hRule="atLeast"/>
        </w:trPr>
        <w:tc>
          <w:tcPr>
            <w:tcW w:w="8240" w:type="dxa"/>
            <w:gridSpan w:val="2"/>
            <w:tcBorders>
              <w:top w:val="single" w:color="000000" w:sz="4" w:space="0"/>
              <w:left w:val="single" w:color="000000" w:sz="4" w:space="0"/>
              <w:bottom w:val="single" w:color="000000" w:sz="4" w:space="0"/>
              <w:right w:val="single" w:color="000000" w:sz="4" w:space="0"/>
            </w:tcBorders>
            <w:vAlign w:val="center"/>
          </w:tcPr>
          <w:p w14:paraId="5C4747CA">
            <w:pPr>
              <w:spacing w:before="156" w:beforeLines="50" w:line="360" w:lineRule="auto"/>
              <w:jc w:val="center"/>
              <w:rPr>
                <w:rFonts w:ascii="Times New Roman" w:hAnsi="Times New Roman" w:cs="Times New Roman"/>
                <w:b/>
                <w:bCs/>
                <w:sz w:val="24"/>
              </w:rPr>
            </w:pPr>
            <w:r>
              <w:rPr>
                <w:rFonts w:ascii="Times New Roman" w:hAnsi="Times New Roman" w:cs="Times New Roman"/>
                <w:b/>
                <w:bCs/>
                <w:sz w:val="24"/>
              </w:rPr>
              <w:t>Hematological</w:t>
            </w:r>
          </w:p>
        </w:tc>
      </w:tr>
      <w:tr w14:paraId="6E9DE4F6">
        <w:trPr>
          <w:trHeight w:val="360" w:hRule="atLeast"/>
        </w:trPr>
        <w:tc>
          <w:tcPr>
            <w:tcW w:w="2562" w:type="dxa"/>
            <w:tcBorders>
              <w:top w:val="single" w:color="000000" w:sz="4" w:space="0"/>
              <w:left w:val="single" w:color="000000" w:sz="4" w:space="0"/>
              <w:bottom w:val="single" w:color="000000" w:sz="4" w:space="0"/>
              <w:right w:val="single" w:color="000000" w:sz="4" w:space="0"/>
            </w:tcBorders>
          </w:tcPr>
          <w:p w14:paraId="5161093F">
            <w:pPr>
              <w:spacing w:before="156" w:beforeLines="50" w:line="360" w:lineRule="auto"/>
              <w:jc w:val="left"/>
              <w:rPr>
                <w:rFonts w:ascii="Times New Roman" w:hAnsi="Times New Roman" w:cs="Times New Roman"/>
                <w:sz w:val="24"/>
              </w:rPr>
            </w:pPr>
            <w:r>
              <w:rPr>
                <w:rFonts w:ascii="Times New Roman" w:hAnsi="Times New Roman" w:cs="Times New Roman"/>
                <w:sz w:val="24"/>
              </w:rPr>
              <w:t>ANC</w:t>
            </w:r>
          </w:p>
        </w:tc>
        <w:tc>
          <w:tcPr>
            <w:tcW w:w="5678" w:type="dxa"/>
            <w:tcBorders>
              <w:top w:val="single" w:color="000000" w:sz="4" w:space="0"/>
              <w:left w:val="single" w:color="000000" w:sz="4" w:space="0"/>
              <w:bottom w:val="single" w:color="000000" w:sz="4" w:space="0"/>
              <w:right w:val="single" w:color="000000" w:sz="4" w:space="0"/>
            </w:tcBorders>
            <w:vAlign w:val="center"/>
          </w:tcPr>
          <w:p w14:paraId="182843A7">
            <w:pPr>
              <w:spacing w:before="156" w:beforeLines="50" w:line="360" w:lineRule="auto"/>
              <w:jc w:val="left"/>
              <w:rPr>
                <w:rFonts w:ascii="Times New Roman" w:hAnsi="Times New Roman" w:cs="Times New Roman"/>
                <w:sz w:val="24"/>
              </w:rPr>
            </w:pPr>
            <w:r>
              <w:rPr>
                <w:rFonts w:ascii="Times New Roman" w:hAnsi="Times New Roman" w:cs="Times New Roman"/>
                <w:sz w:val="24"/>
              </w:rPr>
              <w:t>≥1500/μL</w:t>
            </w:r>
          </w:p>
        </w:tc>
      </w:tr>
      <w:tr w14:paraId="5E53920D">
        <w:trPr>
          <w:trHeight w:val="360" w:hRule="atLeast"/>
        </w:trPr>
        <w:tc>
          <w:tcPr>
            <w:tcW w:w="2562" w:type="dxa"/>
            <w:tcBorders>
              <w:top w:val="single" w:color="000000" w:sz="4" w:space="0"/>
              <w:left w:val="single" w:color="000000" w:sz="4" w:space="0"/>
              <w:bottom w:val="single" w:color="000000" w:sz="4" w:space="0"/>
              <w:right w:val="single" w:color="000000" w:sz="4" w:space="0"/>
            </w:tcBorders>
          </w:tcPr>
          <w:p w14:paraId="3EFDD2D3">
            <w:pPr>
              <w:spacing w:before="156" w:beforeLines="50" w:line="360" w:lineRule="auto"/>
              <w:jc w:val="left"/>
              <w:rPr>
                <w:rFonts w:ascii="Times New Roman" w:hAnsi="Times New Roman" w:cs="Times New Roman"/>
                <w:sz w:val="24"/>
              </w:rPr>
            </w:pPr>
            <w:r>
              <w:rPr>
                <w:rFonts w:ascii="Times New Roman" w:hAnsi="Times New Roman" w:cs="Times New Roman"/>
                <w:sz w:val="24"/>
              </w:rPr>
              <w:t>Platelets</w:t>
            </w:r>
          </w:p>
        </w:tc>
        <w:tc>
          <w:tcPr>
            <w:tcW w:w="5678" w:type="dxa"/>
            <w:tcBorders>
              <w:top w:val="single" w:color="000000" w:sz="4" w:space="0"/>
              <w:left w:val="single" w:color="000000" w:sz="4" w:space="0"/>
              <w:bottom w:val="single" w:color="000000" w:sz="4" w:space="0"/>
              <w:right w:val="single" w:color="000000" w:sz="4" w:space="0"/>
            </w:tcBorders>
            <w:vAlign w:val="center"/>
          </w:tcPr>
          <w:p w14:paraId="12CCA9C1">
            <w:pPr>
              <w:spacing w:before="156" w:beforeLines="50" w:line="360" w:lineRule="auto"/>
              <w:jc w:val="left"/>
              <w:rPr>
                <w:rFonts w:ascii="Times New Roman" w:hAnsi="Times New Roman" w:cs="Times New Roman"/>
                <w:sz w:val="24"/>
              </w:rPr>
            </w:pPr>
            <w:r>
              <w:rPr>
                <w:rFonts w:ascii="Times New Roman" w:hAnsi="Times New Roman" w:cs="Times New Roman"/>
                <w:sz w:val="24"/>
              </w:rPr>
              <w:t>≥100 000/μL</w:t>
            </w:r>
          </w:p>
        </w:tc>
      </w:tr>
      <w:tr w14:paraId="3AEA4B9B">
        <w:trPr>
          <w:trHeight w:val="360" w:hRule="atLeast"/>
        </w:trPr>
        <w:tc>
          <w:tcPr>
            <w:tcW w:w="2562" w:type="dxa"/>
            <w:tcBorders>
              <w:top w:val="single" w:color="000000" w:sz="4" w:space="0"/>
              <w:left w:val="single" w:color="000000" w:sz="4" w:space="0"/>
              <w:bottom w:val="single" w:color="000000" w:sz="4" w:space="0"/>
              <w:right w:val="single" w:color="000000" w:sz="4" w:space="0"/>
            </w:tcBorders>
          </w:tcPr>
          <w:p w14:paraId="4750B8B5">
            <w:pPr>
              <w:spacing w:before="156" w:beforeLines="50" w:line="360" w:lineRule="auto"/>
              <w:jc w:val="left"/>
              <w:rPr>
                <w:rFonts w:ascii="Times New Roman" w:hAnsi="Times New Roman" w:cs="Times New Roman"/>
                <w:sz w:val="24"/>
              </w:rPr>
            </w:pPr>
            <w:r>
              <w:rPr>
                <w:rFonts w:ascii="Times New Roman" w:hAnsi="Times New Roman" w:cs="Times New Roman"/>
                <w:sz w:val="24"/>
              </w:rPr>
              <w:t>Hemoglobin</w:t>
            </w:r>
          </w:p>
        </w:tc>
        <w:tc>
          <w:tcPr>
            <w:tcW w:w="5678" w:type="dxa"/>
            <w:tcBorders>
              <w:top w:val="single" w:color="000000" w:sz="4" w:space="0"/>
              <w:left w:val="single" w:color="000000" w:sz="4" w:space="0"/>
              <w:bottom w:val="single" w:color="000000" w:sz="4" w:space="0"/>
              <w:right w:val="single" w:color="000000" w:sz="4" w:space="0"/>
            </w:tcBorders>
            <w:vAlign w:val="center"/>
          </w:tcPr>
          <w:p w14:paraId="190A2943">
            <w:pPr>
              <w:spacing w:before="156" w:beforeLines="50" w:line="360" w:lineRule="auto"/>
              <w:jc w:val="left"/>
              <w:rPr>
                <w:rFonts w:ascii="Times New Roman" w:hAnsi="Times New Roman" w:cs="Times New Roman"/>
                <w:sz w:val="24"/>
              </w:rPr>
            </w:pPr>
            <w:r>
              <w:rPr>
                <w:rFonts w:ascii="Times New Roman" w:hAnsi="Times New Roman" w:cs="Times New Roman"/>
                <w:sz w:val="24"/>
              </w:rPr>
              <w:t>≥9.0 g/dL or ≥5.6 mmol/L</w:t>
            </w:r>
            <w:r>
              <w:rPr>
                <w:rFonts w:ascii="Times New Roman" w:hAnsi="Times New Roman" w:cs="Times New Roman"/>
                <w:sz w:val="24"/>
                <w:vertAlign w:val="superscript"/>
              </w:rPr>
              <w:t>a</w:t>
            </w:r>
          </w:p>
        </w:tc>
      </w:tr>
      <w:tr w14:paraId="47811C16">
        <w:trPr>
          <w:trHeight w:val="352" w:hRule="atLeast"/>
        </w:trPr>
        <w:tc>
          <w:tcPr>
            <w:tcW w:w="8240" w:type="dxa"/>
            <w:gridSpan w:val="2"/>
            <w:tcBorders>
              <w:top w:val="single" w:color="000000" w:sz="4" w:space="0"/>
              <w:left w:val="single" w:color="000000" w:sz="4" w:space="0"/>
              <w:bottom w:val="single" w:color="000000" w:sz="4" w:space="0"/>
              <w:right w:val="single" w:color="000000" w:sz="4" w:space="0"/>
            </w:tcBorders>
            <w:vAlign w:val="center"/>
          </w:tcPr>
          <w:p w14:paraId="7C503831">
            <w:pPr>
              <w:spacing w:before="156" w:beforeLines="50" w:line="360" w:lineRule="auto"/>
              <w:jc w:val="center"/>
              <w:rPr>
                <w:rFonts w:ascii="Times New Roman" w:hAnsi="Times New Roman" w:cs="Times New Roman"/>
                <w:sz w:val="24"/>
              </w:rPr>
            </w:pPr>
            <w:r>
              <w:rPr>
                <w:rFonts w:ascii="Times New Roman" w:hAnsi="Times New Roman" w:cs="Times New Roman"/>
                <w:b/>
                <w:bCs/>
                <w:sz w:val="24"/>
              </w:rPr>
              <w:t>Renal</w:t>
            </w:r>
          </w:p>
        </w:tc>
      </w:tr>
      <w:tr w14:paraId="02EA5165">
        <w:trPr>
          <w:trHeight w:val="1060" w:hRule="atLeast"/>
        </w:trPr>
        <w:tc>
          <w:tcPr>
            <w:tcW w:w="2562" w:type="dxa"/>
            <w:tcBorders>
              <w:top w:val="single" w:color="000000" w:sz="4" w:space="0"/>
              <w:left w:val="single" w:color="000000" w:sz="4" w:space="0"/>
              <w:bottom w:val="single" w:color="000000" w:sz="4" w:space="0"/>
              <w:right w:val="single" w:color="000000" w:sz="4" w:space="0"/>
            </w:tcBorders>
          </w:tcPr>
          <w:p w14:paraId="1BC7A048">
            <w:pPr>
              <w:spacing w:before="156" w:beforeLines="50" w:line="360" w:lineRule="auto"/>
              <w:jc w:val="left"/>
              <w:rPr>
                <w:rFonts w:ascii="Times New Roman" w:hAnsi="Times New Roman" w:cs="Times New Roman"/>
                <w:sz w:val="24"/>
              </w:rPr>
            </w:pPr>
            <w:r>
              <w:rPr>
                <w:rFonts w:ascii="Times New Roman" w:hAnsi="Times New Roman" w:cs="Times New Roman"/>
                <w:sz w:val="24"/>
              </w:rPr>
              <w:t>Serum Creatinine OR Measured or calculated</w:t>
            </w:r>
            <w:r>
              <w:rPr>
                <w:rFonts w:ascii="Times New Roman" w:hAnsi="Times New Roman" w:cs="Times New Roman"/>
                <w:sz w:val="24"/>
                <w:vertAlign w:val="superscript"/>
              </w:rPr>
              <w:t>b</w:t>
            </w:r>
            <w:r>
              <w:rPr>
                <w:rFonts w:ascii="Times New Roman" w:hAnsi="Times New Roman" w:cs="Times New Roman"/>
                <w:sz w:val="24"/>
              </w:rPr>
              <w:t xml:space="preserve"> CrCl</w:t>
            </w:r>
          </w:p>
        </w:tc>
        <w:tc>
          <w:tcPr>
            <w:tcW w:w="5678" w:type="dxa"/>
            <w:tcBorders>
              <w:top w:val="single" w:color="000000" w:sz="4" w:space="0"/>
              <w:left w:val="single" w:color="000000" w:sz="4" w:space="0"/>
              <w:bottom w:val="single" w:color="000000" w:sz="4" w:space="0"/>
              <w:right w:val="single" w:color="000000" w:sz="4" w:space="0"/>
            </w:tcBorders>
            <w:vAlign w:val="center"/>
          </w:tcPr>
          <w:p w14:paraId="2CAA7B34">
            <w:pPr>
              <w:spacing w:before="156" w:beforeLines="50" w:line="360" w:lineRule="auto"/>
              <w:jc w:val="left"/>
              <w:rPr>
                <w:rFonts w:ascii="Times New Roman" w:hAnsi="Times New Roman" w:cs="Times New Roman"/>
                <w:sz w:val="24"/>
              </w:rPr>
            </w:pPr>
            <w:r>
              <w:rPr>
                <w:rFonts w:ascii="Times New Roman" w:hAnsi="Times New Roman" w:cs="Times New Roman"/>
                <w:sz w:val="24"/>
              </w:rPr>
              <w:t>≤1.5 × ULN OR ≥60 mL/min for participant with creatinine levels &gt;1.5 × institutional ULN</w:t>
            </w:r>
          </w:p>
        </w:tc>
      </w:tr>
      <w:tr w14:paraId="7C80C820">
        <w:trPr>
          <w:trHeight w:val="352" w:hRule="atLeast"/>
        </w:trPr>
        <w:tc>
          <w:tcPr>
            <w:tcW w:w="8240" w:type="dxa"/>
            <w:gridSpan w:val="2"/>
            <w:tcBorders>
              <w:top w:val="single" w:color="000000" w:sz="4" w:space="0"/>
              <w:left w:val="single" w:color="000000" w:sz="4" w:space="0"/>
              <w:bottom w:val="single" w:color="000000" w:sz="4" w:space="0"/>
              <w:right w:val="single" w:color="000000" w:sz="4" w:space="0"/>
            </w:tcBorders>
            <w:vAlign w:val="center"/>
          </w:tcPr>
          <w:p w14:paraId="1430AC5D">
            <w:pPr>
              <w:spacing w:before="156" w:beforeLines="50" w:line="360" w:lineRule="auto"/>
              <w:jc w:val="center"/>
              <w:rPr>
                <w:rFonts w:ascii="Times New Roman" w:hAnsi="Times New Roman" w:cs="Times New Roman"/>
                <w:sz w:val="24"/>
              </w:rPr>
            </w:pPr>
            <w:r>
              <w:rPr>
                <w:rFonts w:ascii="Times New Roman" w:hAnsi="Times New Roman" w:cs="Times New Roman"/>
                <w:b/>
                <w:bCs/>
                <w:sz w:val="24"/>
              </w:rPr>
              <w:t>Hepatic</w:t>
            </w:r>
          </w:p>
        </w:tc>
      </w:tr>
      <w:tr w14:paraId="0CB2CB05">
        <w:trPr>
          <w:trHeight w:val="1060" w:hRule="atLeast"/>
        </w:trPr>
        <w:tc>
          <w:tcPr>
            <w:tcW w:w="2562" w:type="dxa"/>
            <w:tcBorders>
              <w:top w:val="single" w:color="000000" w:sz="4" w:space="0"/>
              <w:left w:val="single" w:color="000000" w:sz="4" w:space="0"/>
              <w:bottom w:val="single" w:color="000000" w:sz="4" w:space="0"/>
              <w:right w:val="single" w:color="000000" w:sz="4" w:space="0"/>
            </w:tcBorders>
          </w:tcPr>
          <w:p w14:paraId="45CDDF86">
            <w:pPr>
              <w:spacing w:before="156" w:beforeLines="50" w:line="360" w:lineRule="auto"/>
              <w:jc w:val="left"/>
              <w:rPr>
                <w:rFonts w:ascii="Times New Roman" w:hAnsi="Times New Roman" w:cs="Times New Roman"/>
                <w:sz w:val="24"/>
              </w:rPr>
            </w:pPr>
            <w:r>
              <w:rPr>
                <w:rFonts w:ascii="Times New Roman" w:hAnsi="Times New Roman" w:cs="Times New Roman"/>
                <w:sz w:val="24"/>
              </w:rPr>
              <w:t>Total bilirubin</w:t>
            </w:r>
          </w:p>
        </w:tc>
        <w:tc>
          <w:tcPr>
            <w:tcW w:w="5678" w:type="dxa"/>
            <w:tcBorders>
              <w:top w:val="single" w:color="000000" w:sz="4" w:space="0"/>
              <w:left w:val="single" w:color="000000" w:sz="4" w:space="0"/>
              <w:bottom w:val="single" w:color="000000" w:sz="4" w:space="0"/>
              <w:right w:val="single" w:color="000000" w:sz="4" w:space="0"/>
            </w:tcBorders>
            <w:vAlign w:val="center"/>
          </w:tcPr>
          <w:p w14:paraId="4BE5479E">
            <w:pPr>
              <w:spacing w:before="156" w:beforeLines="50" w:line="360" w:lineRule="auto"/>
              <w:jc w:val="left"/>
              <w:rPr>
                <w:rFonts w:ascii="Times New Roman" w:hAnsi="Times New Roman" w:cs="Times New Roman"/>
                <w:sz w:val="24"/>
              </w:rPr>
            </w:pPr>
            <w:r>
              <w:rPr>
                <w:rFonts w:ascii="Times New Roman" w:hAnsi="Times New Roman" w:cs="Times New Roman"/>
                <w:sz w:val="24"/>
              </w:rPr>
              <w:t>≤1.5 × ULN OR direct bilirubin within normal limits for participants with total bilirubin levels &gt;1.5 × ULN</w:t>
            </w:r>
          </w:p>
        </w:tc>
      </w:tr>
      <w:tr w14:paraId="0E7D24BD">
        <w:trPr>
          <w:trHeight w:val="360" w:hRule="atLeast"/>
        </w:trPr>
        <w:tc>
          <w:tcPr>
            <w:tcW w:w="2562" w:type="dxa"/>
            <w:tcBorders>
              <w:top w:val="single" w:color="000000" w:sz="4" w:space="0"/>
              <w:left w:val="single" w:color="000000" w:sz="4" w:space="0"/>
              <w:bottom w:val="single" w:color="000000" w:sz="4" w:space="0"/>
              <w:right w:val="single" w:color="000000" w:sz="4" w:space="0"/>
            </w:tcBorders>
          </w:tcPr>
          <w:p w14:paraId="7E2264FD">
            <w:pPr>
              <w:spacing w:before="156" w:beforeLines="50" w:line="360" w:lineRule="auto"/>
              <w:jc w:val="left"/>
              <w:rPr>
                <w:rFonts w:ascii="Times New Roman" w:hAnsi="Times New Roman" w:cs="Times New Roman"/>
                <w:sz w:val="24"/>
              </w:rPr>
            </w:pPr>
            <w:r>
              <w:rPr>
                <w:rFonts w:ascii="Times New Roman" w:hAnsi="Times New Roman" w:cs="Times New Roman"/>
                <w:sz w:val="24"/>
              </w:rPr>
              <w:t>AST (SGOT) and ALT (SGPT)</w:t>
            </w:r>
          </w:p>
        </w:tc>
        <w:tc>
          <w:tcPr>
            <w:tcW w:w="5678" w:type="dxa"/>
            <w:tcBorders>
              <w:top w:val="single" w:color="000000" w:sz="4" w:space="0"/>
              <w:left w:val="single" w:color="000000" w:sz="4" w:space="0"/>
              <w:bottom w:val="single" w:color="000000" w:sz="4" w:space="0"/>
              <w:right w:val="single" w:color="000000" w:sz="4" w:space="0"/>
            </w:tcBorders>
            <w:vAlign w:val="center"/>
          </w:tcPr>
          <w:p w14:paraId="1776656A">
            <w:pPr>
              <w:spacing w:before="156" w:beforeLines="50" w:line="360" w:lineRule="auto"/>
              <w:jc w:val="left"/>
              <w:rPr>
                <w:rFonts w:ascii="Times New Roman" w:hAnsi="Times New Roman" w:cs="Times New Roman"/>
                <w:sz w:val="24"/>
              </w:rPr>
            </w:pPr>
            <w:r>
              <w:rPr>
                <w:rFonts w:ascii="Times New Roman" w:hAnsi="Times New Roman" w:cs="Times New Roman"/>
                <w:sz w:val="24"/>
              </w:rPr>
              <w:t>≤2.5 × ULN</w:t>
            </w:r>
          </w:p>
        </w:tc>
      </w:tr>
      <w:tr w14:paraId="63B37C9D">
        <w:trPr>
          <w:trHeight w:val="352" w:hRule="atLeast"/>
        </w:trPr>
        <w:tc>
          <w:tcPr>
            <w:tcW w:w="8240" w:type="dxa"/>
            <w:gridSpan w:val="2"/>
            <w:tcBorders>
              <w:top w:val="single" w:color="000000" w:sz="4" w:space="0"/>
              <w:left w:val="single" w:color="000000" w:sz="4" w:space="0"/>
              <w:bottom w:val="single" w:color="000000" w:sz="4" w:space="0"/>
              <w:right w:val="single" w:color="000000" w:sz="4" w:space="0"/>
            </w:tcBorders>
            <w:vAlign w:val="center"/>
          </w:tcPr>
          <w:p w14:paraId="07F4C777">
            <w:pPr>
              <w:spacing w:before="156" w:beforeLines="50" w:line="360" w:lineRule="auto"/>
              <w:jc w:val="center"/>
              <w:rPr>
                <w:rFonts w:ascii="Times New Roman" w:hAnsi="Times New Roman" w:cs="Times New Roman"/>
                <w:sz w:val="24"/>
              </w:rPr>
            </w:pPr>
            <w:r>
              <w:rPr>
                <w:rFonts w:ascii="Times New Roman" w:hAnsi="Times New Roman" w:cs="Times New Roman"/>
                <w:b/>
                <w:bCs/>
                <w:sz w:val="24"/>
              </w:rPr>
              <w:t>Endocrine</w:t>
            </w:r>
          </w:p>
        </w:tc>
      </w:tr>
      <w:tr w14:paraId="1D3637A0">
        <w:trPr>
          <w:trHeight w:val="1420" w:hRule="atLeast"/>
        </w:trPr>
        <w:tc>
          <w:tcPr>
            <w:tcW w:w="2562" w:type="dxa"/>
            <w:tcBorders>
              <w:top w:val="single" w:color="000000" w:sz="4" w:space="0"/>
              <w:left w:val="single" w:color="000000" w:sz="4" w:space="0"/>
              <w:bottom w:val="single" w:color="000000" w:sz="4" w:space="0"/>
              <w:right w:val="single" w:color="000000" w:sz="4" w:space="0"/>
            </w:tcBorders>
          </w:tcPr>
          <w:p w14:paraId="2C9CC171">
            <w:pPr>
              <w:spacing w:before="156" w:beforeLines="50" w:line="360" w:lineRule="auto"/>
              <w:jc w:val="left"/>
              <w:rPr>
                <w:rFonts w:ascii="Times New Roman" w:hAnsi="Times New Roman" w:cs="Times New Roman"/>
                <w:sz w:val="24"/>
              </w:rPr>
            </w:pPr>
            <w:r>
              <w:rPr>
                <w:rFonts w:ascii="Times New Roman" w:hAnsi="Times New Roman" w:cs="Times New Roman"/>
                <w:sz w:val="24"/>
              </w:rPr>
              <w:t>TSH</w:t>
            </w:r>
          </w:p>
        </w:tc>
        <w:tc>
          <w:tcPr>
            <w:tcW w:w="5678" w:type="dxa"/>
            <w:tcBorders>
              <w:top w:val="single" w:color="000000" w:sz="4" w:space="0"/>
              <w:left w:val="single" w:color="000000" w:sz="4" w:space="0"/>
              <w:bottom w:val="single" w:color="000000" w:sz="4" w:space="0"/>
              <w:right w:val="single" w:color="000000" w:sz="4" w:space="0"/>
            </w:tcBorders>
            <w:vAlign w:val="center"/>
          </w:tcPr>
          <w:p w14:paraId="2D5AE48C">
            <w:pPr>
              <w:spacing w:before="156" w:beforeLines="50" w:line="360" w:lineRule="auto"/>
              <w:jc w:val="left"/>
              <w:rPr>
                <w:rFonts w:ascii="Times New Roman" w:hAnsi="Times New Roman" w:cs="Times New Roman"/>
                <w:sz w:val="24"/>
              </w:rPr>
            </w:pPr>
            <w:r>
              <w:rPr>
                <w:rFonts w:ascii="Times New Roman" w:hAnsi="Times New Roman" w:cs="Times New Roman"/>
                <w:sz w:val="24"/>
              </w:rPr>
              <w:t>Within normal limits. Note: If TSH is not within normal limits at baseline, the participant may still be eligible if T3 and free T4 are within the normal limits</w:t>
            </w:r>
          </w:p>
        </w:tc>
      </w:tr>
      <w:tr w14:paraId="64CA7EA6">
        <w:trPr>
          <w:trHeight w:val="352" w:hRule="atLeast"/>
        </w:trPr>
        <w:tc>
          <w:tcPr>
            <w:tcW w:w="8240" w:type="dxa"/>
            <w:gridSpan w:val="2"/>
            <w:tcBorders>
              <w:top w:val="single" w:color="000000" w:sz="4" w:space="0"/>
              <w:left w:val="single" w:color="000000" w:sz="4" w:space="0"/>
              <w:bottom w:val="single" w:color="000000" w:sz="4" w:space="0"/>
              <w:right w:val="single" w:color="000000" w:sz="4" w:space="0"/>
            </w:tcBorders>
            <w:vAlign w:val="center"/>
          </w:tcPr>
          <w:p w14:paraId="19904095">
            <w:pPr>
              <w:spacing w:before="156" w:beforeLines="50" w:line="360" w:lineRule="auto"/>
              <w:jc w:val="center"/>
              <w:rPr>
                <w:rFonts w:ascii="Times New Roman" w:hAnsi="Times New Roman" w:cs="Times New Roman"/>
                <w:sz w:val="24"/>
              </w:rPr>
            </w:pPr>
            <w:r>
              <w:rPr>
                <w:rFonts w:ascii="Times New Roman" w:hAnsi="Times New Roman" w:cs="Times New Roman"/>
                <w:b/>
                <w:bCs/>
                <w:sz w:val="24"/>
              </w:rPr>
              <w:t>Coagulation</w:t>
            </w:r>
          </w:p>
        </w:tc>
      </w:tr>
      <w:tr w14:paraId="2529169B">
        <w:trPr>
          <w:trHeight w:val="1420" w:hRule="atLeast"/>
        </w:trPr>
        <w:tc>
          <w:tcPr>
            <w:tcW w:w="2562" w:type="dxa"/>
            <w:tcBorders>
              <w:top w:val="single" w:color="000000" w:sz="4" w:space="0"/>
              <w:left w:val="single" w:color="000000" w:sz="4" w:space="0"/>
              <w:bottom w:val="single" w:color="000000" w:sz="4" w:space="0"/>
              <w:right w:val="single" w:color="000000" w:sz="4" w:space="0"/>
            </w:tcBorders>
          </w:tcPr>
          <w:p w14:paraId="3A2FD7BA">
            <w:pPr>
              <w:spacing w:before="156" w:beforeLines="50" w:line="360" w:lineRule="auto"/>
              <w:jc w:val="left"/>
              <w:rPr>
                <w:rFonts w:ascii="Times New Roman" w:hAnsi="Times New Roman" w:cs="Times New Roman"/>
                <w:sz w:val="24"/>
              </w:rPr>
            </w:pPr>
            <w:r>
              <w:rPr>
                <w:rFonts w:ascii="Times New Roman" w:hAnsi="Times New Roman" w:cs="Times New Roman"/>
                <w:sz w:val="24"/>
              </w:rPr>
              <w:t>INR OR PT</w:t>
            </w:r>
          </w:p>
        </w:tc>
        <w:tc>
          <w:tcPr>
            <w:tcW w:w="5678" w:type="dxa"/>
            <w:tcBorders>
              <w:top w:val="single" w:color="000000" w:sz="4" w:space="0"/>
              <w:left w:val="single" w:color="000000" w:sz="4" w:space="0"/>
              <w:bottom w:val="single" w:color="000000" w:sz="4" w:space="0"/>
              <w:right w:val="single" w:color="000000" w:sz="4" w:space="0"/>
            </w:tcBorders>
            <w:vAlign w:val="center"/>
          </w:tcPr>
          <w:p w14:paraId="4DD23BE2">
            <w:pPr>
              <w:spacing w:before="156" w:beforeLines="50" w:line="360" w:lineRule="auto"/>
              <w:jc w:val="left"/>
              <w:rPr>
                <w:rFonts w:ascii="Times New Roman" w:hAnsi="Times New Roman" w:cs="Times New Roman"/>
                <w:sz w:val="24"/>
              </w:rPr>
            </w:pPr>
            <w:r>
              <w:rPr>
                <w:rFonts w:ascii="Times New Roman" w:hAnsi="Times New Roman" w:cs="Times New Roman"/>
                <w:sz w:val="24"/>
              </w:rPr>
              <w:t>≤1.5 × ULN unless participant is receiving anticoagulant therapy (as long as PT or aPTT is within the therapeutic range for the intended use of anticoagulants)</w:t>
            </w:r>
          </w:p>
        </w:tc>
      </w:tr>
      <w:tr w14:paraId="23C67010">
        <w:trPr>
          <w:trHeight w:val="360" w:hRule="atLeast"/>
        </w:trPr>
        <w:tc>
          <w:tcPr>
            <w:tcW w:w="2562" w:type="dxa"/>
            <w:tcBorders>
              <w:top w:val="single" w:color="000000" w:sz="4" w:space="0"/>
              <w:left w:val="single" w:color="000000" w:sz="4" w:space="0"/>
              <w:bottom w:val="single" w:color="000000" w:sz="4" w:space="0"/>
              <w:right w:val="single" w:color="000000" w:sz="4" w:space="0"/>
            </w:tcBorders>
          </w:tcPr>
          <w:p w14:paraId="15B0EA98">
            <w:pPr>
              <w:spacing w:before="156" w:beforeLines="50" w:line="360" w:lineRule="auto"/>
              <w:jc w:val="left"/>
              <w:rPr>
                <w:rFonts w:ascii="Times New Roman" w:hAnsi="Times New Roman" w:cs="Times New Roman"/>
                <w:sz w:val="24"/>
              </w:rPr>
            </w:pPr>
            <w:r>
              <w:rPr>
                <w:rFonts w:ascii="Times New Roman" w:hAnsi="Times New Roman" w:cs="Times New Roman"/>
                <w:sz w:val="24"/>
              </w:rPr>
              <w:t>aPTT</w:t>
            </w:r>
          </w:p>
        </w:tc>
        <w:tc>
          <w:tcPr>
            <w:tcW w:w="5678" w:type="dxa"/>
            <w:tcBorders>
              <w:top w:val="single" w:color="000000" w:sz="4" w:space="0"/>
              <w:left w:val="single" w:color="000000" w:sz="4" w:space="0"/>
              <w:bottom w:val="single" w:color="000000" w:sz="4" w:space="0"/>
              <w:right w:val="single" w:color="000000" w:sz="4" w:space="0"/>
            </w:tcBorders>
            <w:vAlign w:val="center"/>
          </w:tcPr>
          <w:p w14:paraId="2FCA7DA6">
            <w:pPr>
              <w:spacing w:before="156" w:beforeLines="50" w:line="360" w:lineRule="auto"/>
              <w:jc w:val="left"/>
              <w:rPr>
                <w:rFonts w:ascii="Times New Roman" w:hAnsi="Times New Roman" w:cs="Times New Roman"/>
                <w:sz w:val="24"/>
              </w:rPr>
            </w:pPr>
            <w:r>
              <w:rPr>
                <w:rFonts w:ascii="Times New Roman" w:hAnsi="Times New Roman" w:cs="Times New Roman"/>
                <w:sz w:val="24"/>
              </w:rPr>
              <w:t>(Included in the description for INR OR PT)</w:t>
            </w:r>
          </w:p>
        </w:tc>
      </w:tr>
      <w:tr w14:paraId="001C80C9">
        <w:trPr>
          <w:trHeight w:val="360" w:hRule="atLeast"/>
        </w:trPr>
        <w:tc>
          <w:tcPr>
            <w:tcW w:w="8240" w:type="dxa"/>
            <w:gridSpan w:val="2"/>
            <w:tcBorders>
              <w:top w:val="single" w:color="000000" w:sz="4" w:space="0"/>
              <w:left w:val="single" w:color="000000" w:sz="4" w:space="0"/>
              <w:bottom w:val="single" w:color="000000" w:sz="4" w:space="0"/>
              <w:right w:val="single" w:color="000000" w:sz="4" w:space="0"/>
            </w:tcBorders>
          </w:tcPr>
          <w:p w14:paraId="0B03A75E">
            <w:pPr>
              <w:spacing w:before="156" w:beforeLines="50" w:line="360" w:lineRule="auto"/>
              <w:ind w:firstLine="420" w:firstLineChars="200"/>
              <w:rPr>
                <w:rFonts w:ascii="Times New Roman" w:hAnsi="Times New Roman" w:cs="Times New Roman"/>
                <w:szCs w:val="21"/>
              </w:rPr>
            </w:pPr>
            <w:r>
              <w:rPr>
                <w:rFonts w:ascii="Times New Roman" w:hAnsi="Times New Roman" w:cs="Times New Roman"/>
                <w:szCs w:val="21"/>
              </w:rPr>
              <w:t>Abbreviations: ALT (SGPT) = alanine aminotransferase (serum glutamic pyruvic transaminase); ANC = absolute neutrophil count; aPTT = activated partial thromboplastin time; AST (SGOT) = aspartate aminotransferase (serum glutamic oxaloacetic transaminase); CrCl = creatinine clearance; GFR = glomerular filtration rate; INR = international normalized ratio; PT = prothrombin time; TSH = thyroid stimulating hormone; ULN = upper limit of normal.</w:t>
            </w:r>
          </w:p>
          <w:p w14:paraId="4310A429">
            <w:pPr>
              <w:spacing w:before="156" w:beforeLines="50" w:line="360" w:lineRule="auto"/>
              <w:ind w:firstLine="420" w:firstLineChars="200"/>
              <w:rPr>
                <w:rFonts w:ascii="Times New Roman" w:hAnsi="Times New Roman" w:cs="Times New Roman"/>
                <w:szCs w:val="21"/>
              </w:rPr>
            </w:pPr>
            <w:r>
              <w:rPr>
                <w:rFonts w:ascii="Times New Roman" w:hAnsi="Times New Roman" w:cs="Times New Roman"/>
                <w:szCs w:val="21"/>
              </w:rPr>
              <w:t>a. Criteria must be met without erythropoietin dependency and without packed red blood cell (pRBC) transfusion within the last 2 weeks. b. Creatinine clearance (CrCl) should be calculated per institutional standard.</w:t>
            </w:r>
          </w:p>
          <w:p w14:paraId="6114873C">
            <w:pPr>
              <w:spacing w:before="156" w:beforeLines="50" w:line="360" w:lineRule="auto"/>
              <w:ind w:firstLine="420" w:firstLineChars="200"/>
              <w:rPr>
                <w:rFonts w:ascii="Times New Roman" w:hAnsi="Times New Roman" w:cs="Times New Roman"/>
                <w:sz w:val="24"/>
              </w:rPr>
            </w:pPr>
            <w:r>
              <w:rPr>
                <w:rFonts w:ascii="Times New Roman" w:hAnsi="Times New Roman" w:cs="Times New Roman"/>
                <w:szCs w:val="21"/>
              </w:rPr>
              <w:t>Note: This table includes laboratory value requirements for treatment eligibility; laboratory value requirements should be adapted to local regulations and guidelines for administering specific chemotherapies.</w:t>
            </w:r>
          </w:p>
        </w:tc>
      </w:tr>
    </w:tbl>
    <w:p w14:paraId="43B1BE95">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For female patients of childbearing potential and male patients with partners of childbearing potential, agreement (by patient and/or partner) to use highly effective form(s) of contraception (i.e., one that results in a low failure rate [&lt; 1% per year] when used consistently and correctly, such as hormonal or barrier method of birth control, or abstinence) and to continue its use for 150 days after the last dose of Cadonilimab.</w:t>
      </w:r>
    </w:p>
    <w:p w14:paraId="65C4B9E4">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The participant (or legally acceptable representative if applicable) provides written informed consent for the trial.</w:t>
      </w:r>
    </w:p>
    <w:p w14:paraId="1E9D1376">
      <w:pPr>
        <w:pStyle w:val="4"/>
        <w:spacing w:line="360" w:lineRule="auto"/>
        <w:ind w:firstLineChars="200"/>
        <w:rPr>
          <w:rFonts w:hint="default" w:ascii="Times New Roman" w:hAnsi="Times New Roman"/>
        </w:rPr>
      </w:pPr>
      <w:bookmarkStart w:id="44" w:name="_Toc1037795690"/>
      <w:r>
        <w:rPr>
          <w:rFonts w:hint="default" w:ascii="Times New Roman" w:hAnsi="Times New Roman"/>
        </w:rPr>
        <w:t>4.2 Exclusion Criteria</w:t>
      </w:r>
      <w:bookmarkEnd w:id="44"/>
    </w:p>
    <w:p w14:paraId="457E9C2A">
      <w:pPr>
        <w:numPr>
          <w:ilvl w:val="0"/>
          <w:numId w:val="2"/>
        </w:numPr>
        <w:spacing w:before="156" w:beforeLines="50" w:line="360" w:lineRule="auto"/>
        <w:ind w:left="425" w:firstLine="480" w:firstLineChars="200"/>
        <w:rPr>
          <w:rFonts w:ascii="Times New Roman" w:hAnsi="Times New Roman" w:cs="Times New Roman"/>
          <w:sz w:val="24"/>
        </w:rPr>
      </w:pPr>
      <w:r>
        <w:rPr>
          <w:rFonts w:ascii="Times New Roman" w:hAnsi="Times New Roman" w:cs="Times New Roman"/>
          <w:sz w:val="24"/>
        </w:rPr>
        <w:t>Mixed small-cell and non-small-cell lung cancer.</w:t>
      </w:r>
    </w:p>
    <w:p w14:paraId="7F72E867">
      <w:pPr>
        <w:numPr>
          <w:ilvl w:val="0"/>
          <w:numId w:val="2"/>
        </w:numPr>
        <w:spacing w:before="156" w:beforeLines="50" w:line="360" w:lineRule="auto"/>
        <w:ind w:left="425" w:firstLine="480" w:firstLineChars="200"/>
        <w:rPr>
          <w:rFonts w:ascii="Times New Roman" w:hAnsi="Times New Roman" w:cs="Times New Roman"/>
          <w:sz w:val="24"/>
        </w:rPr>
      </w:pPr>
      <w:r>
        <w:rPr>
          <w:rFonts w:ascii="Times New Roman" w:hAnsi="Times New Roman" w:cs="Times New Roman"/>
          <w:sz w:val="24"/>
        </w:rPr>
        <w:t>S</w:t>
      </w:r>
      <w:r>
        <w:rPr>
          <w:rFonts w:hint="eastAsia" w:ascii="Times New Roman" w:hAnsi="Times New Roman" w:cs="Times New Roman"/>
          <w:sz w:val="24"/>
        </w:rPr>
        <w:t>econdary</w:t>
      </w:r>
      <w:r>
        <w:rPr>
          <w:rFonts w:ascii="Times New Roman" w:hAnsi="Times New Roman" w:cs="Times New Roman"/>
          <w:sz w:val="24"/>
        </w:rPr>
        <w:t xml:space="preserve"> </w:t>
      </w:r>
      <w:r>
        <w:rPr>
          <w:rFonts w:hint="eastAsia" w:ascii="Times New Roman" w:hAnsi="Times New Roman" w:cs="Times New Roman"/>
          <w:sz w:val="24"/>
        </w:rPr>
        <w:t>or</w:t>
      </w:r>
      <w:r>
        <w:rPr>
          <w:rFonts w:ascii="Times New Roman" w:hAnsi="Times New Roman" w:cs="Times New Roman"/>
          <w:sz w:val="24"/>
        </w:rPr>
        <w:t xml:space="preserve"> </w:t>
      </w:r>
      <w:r>
        <w:rPr>
          <w:rFonts w:hint="eastAsia" w:ascii="Times New Roman" w:hAnsi="Times New Roman" w:cs="Times New Roman"/>
          <w:sz w:val="24"/>
        </w:rPr>
        <w:t>multiple</w:t>
      </w:r>
      <w:r>
        <w:rPr>
          <w:rFonts w:ascii="Times New Roman" w:hAnsi="Times New Roman" w:cs="Times New Roman"/>
          <w:sz w:val="24"/>
        </w:rPr>
        <w:t xml:space="preserve"> </w:t>
      </w:r>
      <w:r>
        <w:rPr>
          <w:rFonts w:hint="eastAsia" w:ascii="Times New Roman" w:hAnsi="Times New Roman" w:cs="Times New Roman"/>
          <w:sz w:val="24"/>
        </w:rPr>
        <w:t>primary</w:t>
      </w:r>
      <w:r>
        <w:rPr>
          <w:rFonts w:ascii="Times New Roman" w:hAnsi="Times New Roman" w:cs="Times New Roman"/>
          <w:sz w:val="24"/>
        </w:rPr>
        <w:t xml:space="preserve"> </w:t>
      </w:r>
      <w:r>
        <w:rPr>
          <w:rFonts w:hint="eastAsia" w:ascii="Times New Roman" w:hAnsi="Times New Roman" w:cs="Times New Roman"/>
          <w:sz w:val="24"/>
        </w:rPr>
        <w:t>tumors</w:t>
      </w:r>
      <w:r>
        <w:rPr>
          <w:rFonts w:ascii="Times New Roman" w:hAnsi="Times New Roman" w:cs="Times New Roman"/>
          <w:sz w:val="24"/>
        </w:rPr>
        <w:t>.</w:t>
      </w:r>
    </w:p>
    <w:p w14:paraId="23090FEA">
      <w:pPr>
        <w:numPr>
          <w:ilvl w:val="0"/>
          <w:numId w:val="2"/>
        </w:numPr>
        <w:spacing w:before="156" w:beforeLines="50" w:line="360" w:lineRule="auto"/>
        <w:ind w:left="425" w:firstLine="480" w:firstLineChars="200"/>
        <w:rPr>
          <w:rFonts w:ascii="Times New Roman" w:hAnsi="Times New Roman" w:cs="Times New Roman"/>
          <w:sz w:val="24"/>
        </w:rPr>
      </w:pPr>
      <w:r>
        <w:rPr>
          <w:rFonts w:ascii="Times New Roman" w:hAnsi="Times New Roman" w:cs="Times New Roman"/>
          <w:sz w:val="24"/>
        </w:rPr>
        <w:t>Receipt of any systemic anticancer therapy or systemic immunomodulators (e.g., interferon, interleukin-2 (IL-2), tumor necrosis factor (TNF)) within 4 weeks prior to the first dose of study drugs.</w:t>
      </w:r>
    </w:p>
    <w:p w14:paraId="72CFD93D">
      <w:pPr>
        <w:numPr>
          <w:ilvl w:val="0"/>
          <w:numId w:val="2"/>
        </w:numPr>
        <w:spacing w:before="156" w:beforeLines="50" w:line="360" w:lineRule="auto"/>
        <w:ind w:left="425" w:firstLine="480" w:firstLineChars="200"/>
        <w:rPr>
          <w:rFonts w:ascii="Times New Roman" w:hAnsi="Times New Roman" w:cs="Times New Roman"/>
          <w:sz w:val="24"/>
        </w:rPr>
      </w:pPr>
      <w:r>
        <w:rPr>
          <w:rFonts w:ascii="Times New Roman" w:hAnsi="Times New Roman" w:cs="Times New Roman"/>
          <w:sz w:val="24"/>
        </w:rPr>
        <w:t>Vaccination with live or attenuated vaccines within 4 weeks prior to enrollment, or planned vaccination with live or attenuated vaccines during the study or within 5 months after the last dose of Cadonilimab.</w:t>
      </w:r>
    </w:p>
    <w:p w14:paraId="31247B2C">
      <w:pPr>
        <w:numPr>
          <w:ilvl w:val="0"/>
          <w:numId w:val="2"/>
        </w:numPr>
        <w:spacing w:before="156" w:beforeLines="50" w:line="360" w:lineRule="auto"/>
        <w:ind w:left="425" w:firstLine="480" w:firstLineChars="200"/>
        <w:rPr>
          <w:rFonts w:ascii="Times New Roman" w:hAnsi="Times New Roman" w:cs="Times New Roman"/>
          <w:sz w:val="24"/>
        </w:rPr>
      </w:pPr>
      <w:r>
        <w:rPr>
          <w:rFonts w:ascii="Times New Roman" w:hAnsi="Times New Roman" w:cs="Times New Roman"/>
          <w:sz w:val="24"/>
        </w:rPr>
        <w:t>Known allergy to Cadonilimab, any component of the formulation, or the container.</w:t>
      </w:r>
    </w:p>
    <w:p w14:paraId="5F801223">
      <w:pPr>
        <w:numPr>
          <w:ilvl w:val="0"/>
          <w:numId w:val="2"/>
        </w:numPr>
        <w:spacing w:before="156" w:beforeLines="50" w:line="360" w:lineRule="auto"/>
        <w:ind w:left="425" w:firstLine="480" w:firstLineChars="200"/>
        <w:rPr>
          <w:rFonts w:ascii="Times New Roman" w:hAnsi="Times New Roman" w:cs="Times New Roman"/>
          <w:sz w:val="24"/>
        </w:rPr>
      </w:pPr>
      <w:r>
        <w:rPr>
          <w:rFonts w:ascii="Times New Roman" w:hAnsi="Times New Roman" w:cs="Times New Roman"/>
          <w:sz w:val="24"/>
        </w:rPr>
        <w:t>Untreated chronic hepatitis B virus (HBV) or HBV deoxyribonucleic acid (DNA) ≥500 international units per milliliter (IU/mL); active hepatitis C virus (HCV).</w:t>
      </w:r>
    </w:p>
    <w:p w14:paraId="7DCD42BC">
      <w:pPr>
        <w:spacing w:before="156" w:beforeLines="50" w:line="360" w:lineRule="auto"/>
        <w:ind w:left="840" w:leftChars="400" w:firstLine="480" w:firstLineChars="200"/>
        <w:rPr>
          <w:rFonts w:ascii="Times New Roman" w:hAnsi="Times New Roman" w:cs="Times New Roman"/>
          <w:sz w:val="24"/>
        </w:rPr>
      </w:pPr>
      <w:r>
        <w:rPr>
          <w:rFonts w:ascii="Times New Roman" w:hAnsi="Times New Roman" w:cs="Times New Roman"/>
          <w:sz w:val="24"/>
        </w:rPr>
        <w:t>a. Patients with inactive hepatitis B surface antigen (HBsAg) carrier status or stabilized HBV infection (HBV DNA &lt;100 IU/mL) after therapy may be enrolled. HBV DNA testing is performed only for anti-hepatitis B core (HBc) positive patients.</w:t>
      </w:r>
    </w:p>
    <w:p w14:paraId="4A51B4FA">
      <w:pPr>
        <w:spacing w:before="156" w:beforeLines="50" w:line="360" w:lineRule="auto"/>
        <w:ind w:left="840" w:leftChars="400" w:firstLine="480" w:firstLineChars="200"/>
        <w:rPr>
          <w:rFonts w:ascii="Times New Roman" w:hAnsi="Times New Roman" w:cs="Times New Roman"/>
          <w:sz w:val="24"/>
        </w:rPr>
      </w:pPr>
      <w:r>
        <w:rPr>
          <w:rFonts w:ascii="Times New Roman" w:hAnsi="Times New Roman" w:cs="Times New Roman"/>
          <w:sz w:val="24"/>
        </w:rPr>
        <w:t>b. Patients negative for anti-HCV at screening or HCV antibody positive but HCV ribonucleic acid (RNA) negative may be enrolled. HCV RNA testing is performed only for anti-HCV positive patients.</w:t>
      </w:r>
    </w:p>
    <w:p w14:paraId="12D468A1">
      <w:pPr>
        <w:spacing w:before="156" w:beforeLines="50" w:line="360" w:lineRule="auto"/>
        <w:ind w:left="840" w:leftChars="400" w:firstLine="480" w:firstLineChars="200"/>
        <w:rPr>
          <w:rFonts w:ascii="Times New Roman" w:hAnsi="Times New Roman" w:cs="Times New Roman"/>
          <w:sz w:val="24"/>
        </w:rPr>
      </w:pPr>
      <w:r>
        <w:rPr>
          <w:rFonts w:ascii="Times New Roman" w:hAnsi="Times New Roman" w:cs="Times New Roman"/>
          <w:sz w:val="24"/>
        </w:rPr>
        <w:t>c. Patients with detectable HBsAg or HBV DNA should receive treatment per guidelines. Patients on antiviral therapy at screening should have received &gt;2 weeks of therapy before enrollment and continue for 6 months after study drug discontinuation.</w:t>
      </w:r>
    </w:p>
    <w:p w14:paraId="190BE94B">
      <w:pPr>
        <w:numPr>
          <w:ilvl w:val="0"/>
          <w:numId w:val="2"/>
        </w:numPr>
        <w:spacing w:before="156" w:beforeLines="50" w:line="360" w:lineRule="auto"/>
        <w:ind w:left="425" w:firstLine="480" w:firstLineChars="200"/>
        <w:rPr>
          <w:rFonts w:ascii="Times New Roman" w:hAnsi="Times New Roman" w:cs="Times New Roman"/>
          <w:sz w:val="24"/>
        </w:rPr>
      </w:pPr>
      <w:r>
        <w:rPr>
          <w:rFonts w:ascii="Times New Roman" w:hAnsi="Times New Roman" w:cs="Times New Roman"/>
          <w:sz w:val="24"/>
        </w:rPr>
        <w:t>Active autoimmune disease requiring systemic treatment that may affect study therapy.</w:t>
      </w:r>
    </w:p>
    <w:p w14:paraId="6DC0D8B1">
      <w:pPr>
        <w:numPr>
          <w:ilvl w:val="0"/>
          <w:numId w:val="2"/>
        </w:numPr>
        <w:spacing w:before="156" w:beforeLines="50" w:line="360" w:lineRule="auto"/>
        <w:ind w:left="425" w:firstLine="480" w:firstLineChars="200"/>
        <w:rPr>
          <w:rFonts w:ascii="Times New Roman" w:hAnsi="Times New Roman" w:cs="Times New Roman"/>
          <w:sz w:val="24"/>
        </w:rPr>
      </w:pPr>
      <w:r>
        <w:rPr>
          <w:rFonts w:ascii="Times New Roman" w:hAnsi="Times New Roman" w:cs="Times New Roman"/>
          <w:sz w:val="24"/>
        </w:rPr>
        <w:t>Systemic corticosteroid (prednisone &gt;10 mg/day or equivalent) or other immunosuppressive therapy within 14 days prior to first dose of study drugs, judged by the investigator to affect study therapy.</w:t>
      </w:r>
    </w:p>
    <w:p w14:paraId="63DCA586">
      <w:pPr>
        <w:numPr>
          <w:ilvl w:val="0"/>
          <w:numId w:val="2"/>
        </w:numPr>
        <w:spacing w:before="156" w:beforeLines="50" w:line="360" w:lineRule="auto"/>
        <w:ind w:left="425" w:firstLine="480" w:firstLineChars="200"/>
        <w:rPr>
          <w:rFonts w:ascii="Times New Roman" w:hAnsi="Times New Roman" w:cs="Times New Roman"/>
          <w:sz w:val="24"/>
        </w:rPr>
      </w:pPr>
      <w:r>
        <w:rPr>
          <w:rFonts w:ascii="Times New Roman" w:hAnsi="Times New Roman" w:cs="Times New Roman"/>
          <w:sz w:val="24"/>
        </w:rPr>
        <w:t>Severe chronic or active infections requiring systemic antibacterial, antifungal, or antiviral therapy within 14 days prior to first dose of study drugs.</w:t>
      </w:r>
    </w:p>
    <w:p w14:paraId="0D6000D1">
      <w:pPr>
        <w:numPr>
          <w:ilvl w:val="0"/>
          <w:numId w:val="2"/>
        </w:numPr>
        <w:spacing w:before="156" w:beforeLines="50" w:line="360" w:lineRule="auto"/>
        <w:ind w:left="425" w:firstLine="480" w:firstLineChars="200"/>
        <w:rPr>
          <w:rFonts w:ascii="Times New Roman" w:hAnsi="Times New Roman" w:cs="Times New Roman"/>
          <w:sz w:val="24"/>
        </w:rPr>
      </w:pPr>
      <w:r>
        <w:rPr>
          <w:rFonts w:ascii="Times New Roman" w:hAnsi="Times New Roman" w:cs="Times New Roman"/>
          <w:sz w:val="24"/>
        </w:rPr>
        <w:t>Prior allogeneic stem cell or organ transplantation.</w:t>
      </w:r>
    </w:p>
    <w:p w14:paraId="72649D4D">
      <w:pPr>
        <w:numPr>
          <w:ilvl w:val="0"/>
          <w:numId w:val="2"/>
        </w:numPr>
        <w:spacing w:before="156" w:beforeLines="50" w:line="360" w:lineRule="auto"/>
        <w:ind w:left="425" w:firstLine="480" w:firstLineChars="200"/>
        <w:rPr>
          <w:rFonts w:ascii="Times New Roman" w:hAnsi="Times New Roman" w:cs="Times New Roman"/>
          <w:sz w:val="24"/>
        </w:rPr>
      </w:pPr>
      <w:r>
        <w:rPr>
          <w:rFonts w:ascii="Times New Roman" w:hAnsi="Times New Roman" w:cs="Times New Roman"/>
          <w:sz w:val="24"/>
        </w:rPr>
        <w:t>Any of the following cardiovascular high-risk conditions:</w:t>
      </w:r>
    </w:p>
    <w:p w14:paraId="1BF96C8F">
      <w:pPr>
        <w:spacing w:before="156" w:beforeLines="50" w:line="360" w:lineRule="auto"/>
        <w:ind w:left="840" w:leftChars="400" w:firstLine="480" w:firstLineChars="200"/>
        <w:rPr>
          <w:rFonts w:ascii="Times New Roman" w:hAnsi="Times New Roman" w:cs="Times New Roman"/>
          <w:sz w:val="24"/>
        </w:rPr>
      </w:pPr>
      <w:r>
        <w:rPr>
          <w:rFonts w:ascii="Times New Roman" w:hAnsi="Times New Roman" w:cs="Times New Roman"/>
          <w:sz w:val="24"/>
        </w:rPr>
        <w:t>a. Angina within 28 days prior to first dose of study drugs;</w:t>
      </w:r>
    </w:p>
    <w:p w14:paraId="40149431">
      <w:pPr>
        <w:spacing w:before="156" w:beforeLines="50" w:line="360" w:lineRule="auto"/>
        <w:ind w:left="840" w:leftChars="400" w:firstLine="480" w:firstLineChars="200"/>
        <w:rPr>
          <w:rFonts w:ascii="Times New Roman" w:hAnsi="Times New Roman" w:cs="Times New Roman"/>
          <w:sz w:val="24"/>
        </w:rPr>
      </w:pPr>
      <w:r>
        <w:rPr>
          <w:rFonts w:ascii="Times New Roman" w:hAnsi="Times New Roman" w:cs="Times New Roman"/>
          <w:sz w:val="24"/>
        </w:rPr>
        <w:t>b. Symptomatic pulmonary embolism ≤28 days prior to first dose of study drugs;</w:t>
      </w:r>
    </w:p>
    <w:p w14:paraId="0824BFE5">
      <w:pPr>
        <w:spacing w:before="156" w:beforeLines="50" w:line="360" w:lineRule="auto"/>
        <w:ind w:left="840" w:leftChars="400" w:firstLine="480" w:firstLineChars="200"/>
        <w:rPr>
          <w:rFonts w:ascii="Times New Roman" w:hAnsi="Times New Roman" w:cs="Times New Roman"/>
          <w:sz w:val="24"/>
        </w:rPr>
      </w:pPr>
      <w:r>
        <w:rPr>
          <w:rFonts w:ascii="Times New Roman" w:hAnsi="Times New Roman" w:cs="Times New Roman"/>
          <w:sz w:val="24"/>
        </w:rPr>
        <w:t>c. Acute myocardial infarction within 6 months;</w:t>
      </w:r>
    </w:p>
    <w:p w14:paraId="11580686">
      <w:pPr>
        <w:spacing w:before="156" w:beforeLines="50" w:line="360" w:lineRule="auto"/>
        <w:ind w:left="840" w:leftChars="400" w:firstLine="480" w:firstLineChars="200"/>
        <w:rPr>
          <w:rFonts w:ascii="Times New Roman" w:hAnsi="Times New Roman" w:cs="Times New Roman"/>
          <w:sz w:val="24"/>
        </w:rPr>
      </w:pPr>
      <w:r>
        <w:rPr>
          <w:rFonts w:ascii="Times New Roman" w:hAnsi="Times New Roman" w:cs="Times New Roman"/>
          <w:sz w:val="24"/>
        </w:rPr>
        <w:t>d. New York Heart Association (NYHA) Class III–IV heart failure within 6 months;</w:t>
      </w:r>
    </w:p>
    <w:p w14:paraId="13724B51">
      <w:pPr>
        <w:spacing w:before="156" w:beforeLines="50" w:line="360" w:lineRule="auto"/>
        <w:ind w:left="840" w:leftChars="400" w:firstLine="480" w:firstLineChars="200"/>
        <w:rPr>
          <w:rFonts w:ascii="Times New Roman" w:hAnsi="Times New Roman" w:cs="Times New Roman"/>
          <w:sz w:val="24"/>
        </w:rPr>
      </w:pPr>
      <w:r>
        <w:rPr>
          <w:rFonts w:ascii="Times New Roman" w:hAnsi="Times New Roman" w:cs="Times New Roman"/>
          <w:sz w:val="24"/>
        </w:rPr>
        <w:t>e. ≥Grade 2 ventricular arrhythmia within 6 months;</w:t>
      </w:r>
    </w:p>
    <w:p w14:paraId="43B0492A">
      <w:pPr>
        <w:spacing w:before="156" w:beforeLines="50" w:line="360" w:lineRule="auto"/>
        <w:ind w:left="840" w:leftChars="400" w:firstLine="480" w:firstLineChars="200"/>
        <w:rPr>
          <w:rFonts w:ascii="Times New Roman" w:hAnsi="Times New Roman" w:cs="Times New Roman"/>
          <w:sz w:val="24"/>
        </w:rPr>
      </w:pPr>
      <w:r>
        <w:rPr>
          <w:rFonts w:ascii="Times New Roman" w:hAnsi="Times New Roman" w:cs="Times New Roman"/>
          <w:sz w:val="24"/>
        </w:rPr>
        <w:t>f. History of cerebrovascular accident within 6 months;</w:t>
      </w:r>
    </w:p>
    <w:p w14:paraId="6E20F41F">
      <w:pPr>
        <w:spacing w:before="156" w:beforeLines="50" w:line="360" w:lineRule="auto"/>
        <w:ind w:left="840" w:leftChars="400" w:firstLine="480" w:firstLineChars="200"/>
        <w:rPr>
          <w:rFonts w:ascii="Times New Roman" w:hAnsi="Times New Roman" w:cs="Times New Roman"/>
          <w:sz w:val="24"/>
        </w:rPr>
      </w:pPr>
      <w:r>
        <w:rPr>
          <w:rFonts w:ascii="Times New Roman" w:hAnsi="Times New Roman" w:cs="Times New Roman"/>
          <w:sz w:val="24"/>
        </w:rPr>
        <w:t>g.</w:t>
      </w:r>
      <w:r>
        <w:rPr>
          <w:rFonts w:hint="default" w:ascii="Times New Roman" w:hAnsi="Times New Roman" w:cs="Times New Roman"/>
          <w:sz w:val="24"/>
          <w:lang w:val="en-US"/>
        </w:rPr>
        <w:t xml:space="preserve"> C</w:t>
      </w:r>
      <w:r>
        <w:rPr>
          <w:rFonts w:hint="eastAsia" w:ascii="Times New Roman" w:hAnsi="Times New Roman" w:cs="Times New Roman"/>
          <w:sz w:val="24"/>
        </w:rPr>
        <w:t>orrected QT interval (QTc)</w:t>
      </w:r>
      <w:r>
        <w:rPr>
          <w:rFonts w:hint="default" w:ascii="Times New Roman" w:hAnsi="Times New Roman" w:cs="Times New Roman"/>
          <w:sz w:val="24"/>
          <w:lang w:val="en-US"/>
        </w:rPr>
        <w:t xml:space="preserve"> </w:t>
      </w:r>
      <w:r>
        <w:rPr>
          <w:rFonts w:ascii="Times New Roman" w:hAnsi="Times New Roman" w:cs="Times New Roman"/>
          <w:sz w:val="24"/>
        </w:rPr>
        <w:t>&gt;450 ms (if initial electrocardiogram (ECG) shows QTc &gt;450 ms, repeat ECG is required);</w:t>
      </w:r>
    </w:p>
    <w:p w14:paraId="3C6DB79E">
      <w:pPr>
        <w:spacing w:before="156" w:beforeLines="50" w:line="360" w:lineRule="auto"/>
        <w:ind w:left="840" w:leftChars="400" w:firstLine="480" w:firstLineChars="200"/>
        <w:rPr>
          <w:rFonts w:ascii="Times New Roman" w:hAnsi="Times New Roman" w:cs="Times New Roman"/>
          <w:sz w:val="24"/>
        </w:rPr>
      </w:pPr>
      <w:r>
        <w:rPr>
          <w:rFonts w:ascii="Times New Roman" w:hAnsi="Times New Roman" w:cs="Times New Roman"/>
          <w:sz w:val="24"/>
        </w:rPr>
        <w:t>h. Left ventricular ejection fraction (LVEF) ≤ lower limit of normal on echocardiogram;</w:t>
      </w:r>
    </w:p>
    <w:p w14:paraId="0D233D43">
      <w:pPr>
        <w:spacing w:before="156" w:beforeLines="50" w:line="360" w:lineRule="auto"/>
        <w:ind w:left="840" w:leftChars="400" w:firstLine="480" w:firstLineChars="200"/>
        <w:rPr>
          <w:rFonts w:ascii="Times New Roman" w:hAnsi="Times New Roman" w:cs="Times New Roman"/>
          <w:sz w:val="24"/>
        </w:rPr>
      </w:pPr>
      <w:r>
        <w:rPr>
          <w:rFonts w:ascii="Times New Roman" w:hAnsi="Times New Roman" w:cs="Times New Roman"/>
          <w:sz w:val="24"/>
        </w:rPr>
        <w:t>i. Syncope or seizure within 28 days.</w:t>
      </w:r>
    </w:p>
    <w:p w14:paraId="4F8A8E72">
      <w:pPr>
        <w:numPr>
          <w:ilvl w:val="0"/>
          <w:numId w:val="2"/>
        </w:numPr>
        <w:spacing w:before="156" w:beforeLines="50" w:line="360" w:lineRule="auto"/>
        <w:ind w:left="425" w:firstLine="480" w:firstLineChars="200"/>
        <w:rPr>
          <w:rFonts w:ascii="Times New Roman" w:hAnsi="Times New Roman" w:cs="Times New Roman"/>
          <w:sz w:val="24"/>
        </w:rPr>
      </w:pPr>
      <w:r>
        <w:rPr>
          <w:rFonts w:ascii="Times New Roman" w:hAnsi="Times New Roman" w:cs="Times New Roman"/>
          <w:sz w:val="24"/>
        </w:rPr>
        <w:t>Poorly controlled hypertension (systolic blood pressure (SBP) &gt;150 mmHg and/or diastolic blood pressure (DBP) &gt;100 mmHg).</w:t>
      </w:r>
    </w:p>
    <w:p w14:paraId="4E9A546C">
      <w:pPr>
        <w:numPr>
          <w:ilvl w:val="0"/>
          <w:numId w:val="2"/>
        </w:numPr>
        <w:spacing w:before="156" w:beforeLines="50" w:line="360" w:lineRule="auto"/>
        <w:ind w:left="425" w:firstLine="480" w:firstLineChars="200"/>
        <w:rPr>
          <w:rFonts w:ascii="Times New Roman" w:hAnsi="Times New Roman" w:cs="Times New Roman"/>
          <w:sz w:val="24"/>
        </w:rPr>
      </w:pPr>
      <w:r>
        <w:rPr>
          <w:rFonts w:ascii="Times New Roman" w:hAnsi="Times New Roman" w:cs="Times New Roman"/>
          <w:sz w:val="24"/>
        </w:rPr>
        <w:t>Hemorrhagic or thrombotic disorders, or use of anticoagulants requiring therapeutic monitoring within 6 months, judged to affect treatment.</w:t>
      </w:r>
    </w:p>
    <w:p w14:paraId="58D556CC">
      <w:pPr>
        <w:numPr>
          <w:ilvl w:val="0"/>
          <w:numId w:val="2"/>
        </w:numPr>
        <w:spacing w:before="156" w:beforeLines="50" w:line="360" w:lineRule="auto"/>
        <w:ind w:left="425" w:firstLine="480" w:firstLineChars="200"/>
        <w:rPr>
          <w:rFonts w:ascii="Times New Roman" w:hAnsi="Times New Roman" w:cs="Times New Roman"/>
          <w:sz w:val="24"/>
        </w:rPr>
      </w:pPr>
      <w:r>
        <w:rPr>
          <w:rFonts w:ascii="Times New Roman" w:hAnsi="Times New Roman" w:cs="Times New Roman"/>
          <w:sz w:val="24"/>
        </w:rPr>
        <w:t>Any bleeding signs or history that may affect the study, uncontrolled Grade ≥3 bleeding within 4 weeks, non-healed wounds, ulcers, or fractures.</w:t>
      </w:r>
    </w:p>
    <w:p w14:paraId="2523E676">
      <w:pPr>
        <w:numPr>
          <w:ilvl w:val="0"/>
          <w:numId w:val="2"/>
        </w:numPr>
        <w:spacing w:before="156" w:beforeLines="50" w:line="360" w:lineRule="auto"/>
        <w:ind w:left="425" w:firstLine="480" w:firstLineChars="200"/>
        <w:rPr>
          <w:rFonts w:ascii="Times New Roman" w:hAnsi="Times New Roman" w:cs="Times New Roman"/>
          <w:sz w:val="24"/>
        </w:rPr>
      </w:pPr>
      <w:bookmarkStart w:id="45" w:name="_Toc369980896"/>
      <w:bookmarkStart w:id="46" w:name="_Toc2029788345"/>
      <w:r>
        <w:rPr>
          <w:rFonts w:ascii="Times New Roman" w:hAnsi="Times New Roman" w:cs="Times New Roman"/>
          <w:sz w:val="24"/>
        </w:rPr>
        <w:t>Hemoptysis &gt;50 mL/day.</w:t>
      </w:r>
      <w:bookmarkEnd w:id="45"/>
      <w:bookmarkEnd w:id="46"/>
    </w:p>
    <w:p w14:paraId="012A504B">
      <w:pPr>
        <w:numPr>
          <w:ilvl w:val="0"/>
          <w:numId w:val="2"/>
        </w:numPr>
        <w:spacing w:before="156" w:beforeLines="50" w:line="360" w:lineRule="auto"/>
        <w:ind w:left="425" w:firstLine="480" w:firstLineChars="200"/>
        <w:rPr>
          <w:rFonts w:ascii="Times New Roman" w:hAnsi="Times New Roman" w:cs="Times New Roman"/>
          <w:sz w:val="24"/>
        </w:rPr>
      </w:pPr>
      <w:r>
        <w:rPr>
          <w:rFonts w:ascii="Times New Roman" w:hAnsi="Times New Roman" w:cs="Times New Roman"/>
          <w:sz w:val="24"/>
        </w:rPr>
        <w:t>Central cavitary tumor or tumor adjacent to major vessels with imaging suggesting risk of fatal hemorrhage.</w:t>
      </w:r>
    </w:p>
    <w:p w14:paraId="027CBACF">
      <w:pPr>
        <w:numPr>
          <w:ilvl w:val="0"/>
          <w:numId w:val="2"/>
        </w:numPr>
        <w:spacing w:before="156" w:beforeLines="50" w:line="360" w:lineRule="auto"/>
        <w:ind w:left="425" w:firstLine="480" w:firstLineChars="200"/>
        <w:rPr>
          <w:rFonts w:ascii="Times New Roman" w:hAnsi="Times New Roman" w:cs="Times New Roman"/>
          <w:sz w:val="24"/>
        </w:rPr>
      </w:pPr>
      <w:r>
        <w:rPr>
          <w:rFonts w:ascii="Times New Roman" w:hAnsi="Times New Roman" w:cs="Times New Roman"/>
          <w:sz w:val="24"/>
        </w:rPr>
        <w:t>Inability to swallow capsules or significant gastrointestinal disorders affecting drug absorption (e.g., malabsorption, gastric/small bowel resection, bariatric surgery, symptomatic inflammatory bowel disease (IBD), incomplete or complete intestinal obstruction).</w:t>
      </w:r>
    </w:p>
    <w:p w14:paraId="777A4ADC">
      <w:pPr>
        <w:numPr>
          <w:ilvl w:val="0"/>
          <w:numId w:val="2"/>
        </w:numPr>
        <w:spacing w:before="156" w:beforeLines="50" w:line="360" w:lineRule="auto"/>
        <w:ind w:left="425" w:firstLine="480" w:firstLineChars="200"/>
        <w:rPr>
          <w:rFonts w:ascii="Times New Roman" w:hAnsi="Times New Roman" w:cs="Times New Roman"/>
          <w:sz w:val="24"/>
        </w:rPr>
      </w:pPr>
      <w:r>
        <w:rPr>
          <w:rFonts w:ascii="Times New Roman" w:hAnsi="Times New Roman" w:cs="Times New Roman"/>
          <w:sz w:val="24"/>
        </w:rPr>
        <w:t>Requirement for gastric pH-modifying drugs (proton pump inhibitors (PPIs) and/or H2 antagonists); antacids may be substituted.</w:t>
      </w:r>
    </w:p>
    <w:p w14:paraId="5C917ACE">
      <w:pPr>
        <w:numPr>
          <w:ilvl w:val="0"/>
          <w:numId w:val="2"/>
        </w:numPr>
        <w:spacing w:before="156" w:beforeLines="50" w:line="360" w:lineRule="auto"/>
        <w:ind w:left="425" w:firstLine="480" w:firstLineChars="200"/>
        <w:rPr>
          <w:rFonts w:ascii="Times New Roman" w:hAnsi="Times New Roman" w:cs="Times New Roman"/>
          <w:sz w:val="24"/>
        </w:rPr>
      </w:pPr>
      <w:r>
        <w:rPr>
          <w:rFonts w:ascii="Times New Roman" w:hAnsi="Times New Roman" w:cs="Times New Roman"/>
          <w:sz w:val="24"/>
        </w:rPr>
        <w:t>Uncontrolled systemic diseases (e.g., diabetes, hypertension, pulmonary fibrosis, acute lung disease) affecting study therapy.</w:t>
      </w:r>
    </w:p>
    <w:p w14:paraId="2848D2DE">
      <w:pPr>
        <w:numPr>
          <w:ilvl w:val="0"/>
          <w:numId w:val="2"/>
        </w:numPr>
        <w:spacing w:before="156" w:beforeLines="50" w:line="360" w:lineRule="auto"/>
        <w:ind w:left="425" w:firstLine="480" w:firstLineChars="200"/>
        <w:rPr>
          <w:rFonts w:ascii="Times New Roman" w:hAnsi="Times New Roman" w:cs="Times New Roman"/>
          <w:sz w:val="24"/>
        </w:rPr>
      </w:pPr>
      <w:r>
        <w:rPr>
          <w:rFonts w:ascii="Times New Roman" w:hAnsi="Times New Roman" w:cs="Times New Roman"/>
          <w:sz w:val="24"/>
        </w:rPr>
        <w:t>Significant medical history or clinical condition affecting organ function as judged by the investigator.</w:t>
      </w:r>
    </w:p>
    <w:p w14:paraId="272C26DB">
      <w:pPr>
        <w:numPr>
          <w:ilvl w:val="0"/>
          <w:numId w:val="2"/>
        </w:numPr>
        <w:spacing w:before="156" w:beforeLines="50" w:line="360" w:lineRule="auto"/>
        <w:ind w:left="425" w:firstLine="480" w:firstLineChars="200"/>
        <w:rPr>
          <w:rFonts w:ascii="Times New Roman" w:hAnsi="Times New Roman" w:cs="Times New Roman"/>
          <w:sz w:val="24"/>
        </w:rPr>
      </w:pPr>
      <w:r>
        <w:rPr>
          <w:rFonts w:ascii="Times New Roman" w:hAnsi="Times New Roman" w:cs="Times New Roman"/>
          <w:sz w:val="24"/>
        </w:rPr>
        <w:t>Major surgery under general anesthesia within 28 days prior to first dose of study drugs.</w:t>
      </w:r>
    </w:p>
    <w:p w14:paraId="0E41C937">
      <w:pPr>
        <w:numPr>
          <w:ilvl w:val="0"/>
          <w:numId w:val="2"/>
        </w:numPr>
        <w:spacing w:before="156" w:beforeLines="50" w:line="360" w:lineRule="auto"/>
        <w:ind w:left="425" w:firstLine="480" w:firstLineChars="200"/>
        <w:rPr>
          <w:rFonts w:ascii="Times New Roman" w:hAnsi="Times New Roman" w:cs="Times New Roman"/>
          <w:sz w:val="24"/>
        </w:rPr>
      </w:pPr>
      <w:r>
        <w:rPr>
          <w:rFonts w:ascii="Times New Roman" w:hAnsi="Times New Roman" w:cs="Times New Roman"/>
          <w:sz w:val="24"/>
        </w:rPr>
        <w:t>Medical conditions, substance abuse, or dependence contraindicating study drug use, interfering with dosing, outcome interpretation, or posing high risk of treatment complications.</w:t>
      </w:r>
    </w:p>
    <w:p w14:paraId="1DA9C2F5">
      <w:pPr>
        <w:numPr>
          <w:ilvl w:val="0"/>
          <w:numId w:val="2"/>
        </w:numPr>
        <w:spacing w:before="156" w:beforeLines="50" w:line="360" w:lineRule="auto"/>
        <w:ind w:left="425" w:firstLine="480" w:firstLineChars="200"/>
        <w:rPr>
          <w:rFonts w:ascii="Times New Roman" w:hAnsi="Times New Roman" w:cs="Times New Roman"/>
          <w:sz w:val="24"/>
        </w:rPr>
      </w:pPr>
      <w:r>
        <w:rPr>
          <w:rFonts w:ascii="Times New Roman" w:hAnsi="Times New Roman" w:cs="Times New Roman"/>
          <w:sz w:val="24"/>
        </w:rPr>
        <w:t>Known human immunodeficiency virus (HIV) infection.</w:t>
      </w:r>
    </w:p>
    <w:p w14:paraId="153B4949">
      <w:pPr>
        <w:numPr>
          <w:ilvl w:val="0"/>
          <w:numId w:val="2"/>
        </w:numPr>
        <w:spacing w:before="156" w:beforeLines="50" w:line="360" w:lineRule="auto"/>
        <w:ind w:left="425" w:firstLine="480" w:firstLineChars="200"/>
        <w:rPr>
          <w:rFonts w:ascii="Times New Roman" w:hAnsi="Times New Roman" w:cs="Times New Roman"/>
          <w:sz w:val="24"/>
        </w:rPr>
      </w:pPr>
      <w:r>
        <w:rPr>
          <w:rFonts w:ascii="Times New Roman" w:hAnsi="Times New Roman" w:cs="Times New Roman"/>
          <w:sz w:val="24"/>
        </w:rPr>
        <w:t>Any active malignancy within 2 years prior to enrollment, except for the study cancer or adequately treated localized recurrent cancers (e.g., resected basal cell or squamous cell skin carcinoma, superficial bladder cancer, cervical or breast carcinoma in situ).</w:t>
      </w:r>
    </w:p>
    <w:p w14:paraId="096A20E4">
      <w:pPr>
        <w:numPr>
          <w:ilvl w:val="0"/>
          <w:numId w:val="2"/>
        </w:numPr>
        <w:spacing w:before="156" w:beforeLines="50" w:line="360" w:lineRule="auto"/>
        <w:ind w:left="425" w:firstLine="480" w:firstLineChars="200"/>
        <w:rPr>
          <w:rFonts w:ascii="Times New Roman" w:hAnsi="Times New Roman" w:cs="Times New Roman"/>
          <w:sz w:val="24"/>
        </w:rPr>
      </w:pPr>
      <w:r>
        <w:rPr>
          <w:rFonts w:ascii="Times New Roman" w:hAnsi="Times New Roman" w:cs="Times New Roman"/>
          <w:sz w:val="24"/>
        </w:rPr>
        <w:t>Pregnant or breastfeeding women, or patients planning conception during the study.</w:t>
      </w:r>
    </w:p>
    <w:p w14:paraId="091AAF8D">
      <w:pPr>
        <w:numPr>
          <w:ilvl w:val="0"/>
          <w:numId w:val="2"/>
        </w:numPr>
        <w:spacing w:before="156" w:beforeLines="50" w:line="360" w:lineRule="auto"/>
        <w:ind w:left="425" w:firstLine="480" w:firstLineChars="200"/>
        <w:rPr>
          <w:rFonts w:ascii="Times New Roman" w:hAnsi="Times New Roman" w:cs="Times New Roman"/>
          <w:sz w:val="24"/>
        </w:rPr>
      </w:pPr>
      <w:r>
        <w:rPr>
          <w:rFonts w:ascii="Times New Roman" w:hAnsi="Times New Roman" w:cs="Times New Roman"/>
          <w:sz w:val="24"/>
        </w:rPr>
        <w:t>Participation in another interventional clinical trial.</w:t>
      </w:r>
    </w:p>
    <w:p w14:paraId="198BF90F">
      <w:pPr>
        <w:pStyle w:val="4"/>
        <w:spacing w:line="360" w:lineRule="auto"/>
        <w:ind w:firstLineChars="200"/>
        <w:rPr>
          <w:rFonts w:hint="default" w:ascii="Times New Roman" w:hAnsi="Times New Roman"/>
        </w:rPr>
      </w:pPr>
      <w:bookmarkStart w:id="47" w:name="_Toc1303761007"/>
      <w:r>
        <w:rPr>
          <w:rFonts w:hint="default" w:ascii="Times New Roman" w:hAnsi="Times New Roman"/>
        </w:rPr>
        <w:t>4.3 Lifestyle Considerations</w:t>
      </w:r>
      <w:bookmarkEnd w:id="47"/>
    </w:p>
    <w:p w14:paraId="40139230">
      <w:pPr>
        <w:pStyle w:val="4"/>
        <w:spacing w:line="360" w:lineRule="auto"/>
        <w:ind w:firstLineChars="200"/>
        <w:rPr>
          <w:rFonts w:hint="default" w:ascii="Times New Roman" w:hAnsi="Times New Roman"/>
        </w:rPr>
      </w:pPr>
      <w:bookmarkStart w:id="48" w:name="_Toc1535594308"/>
      <w:r>
        <w:rPr>
          <w:rFonts w:hint="default" w:ascii="Times New Roman" w:hAnsi="Times New Roman"/>
        </w:rPr>
        <w:t>4.3.1 Meals and Dietary Restrictions</w:t>
      </w:r>
      <w:bookmarkEnd w:id="48"/>
    </w:p>
    <w:p w14:paraId="6FAAB0DB">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Participants should maintain a normal diet unless modifications are required to manage an AE such as diarrhea, nausea, vomiting, or esophagitis.</w:t>
      </w:r>
    </w:p>
    <w:p w14:paraId="5709FC7D">
      <w:pPr>
        <w:pStyle w:val="4"/>
        <w:spacing w:line="360" w:lineRule="auto"/>
        <w:ind w:firstLineChars="200"/>
        <w:rPr>
          <w:rFonts w:hint="default" w:ascii="Times New Roman" w:hAnsi="Times New Roman"/>
        </w:rPr>
      </w:pPr>
      <w:bookmarkStart w:id="49" w:name="_Toc275064910"/>
      <w:r>
        <w:rPr>
          <w:rFonts w:hint="default" w:ascii="Times New Roman" w:hAnsi="Times New Roman"/>
        </w:rPr>
        <w:t>4.3.2 Caffeine, Alcohol, and Tobacco Restrictions</w:t>
      </w:r>
      <w:bookmarkEnd w:id="49"/>
    </w:p>
    <w:p w14:paraId="212C2FAE">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No caffeine, alcohol or tobacco restrictions are required. All participants who smoke should be strongly advised to cease smoking during treatment.</w:t>
      </w:r>
    </w:p>
    <w:p w14:paraId="6AADD06B">
      <w:pPr>
        <w:pStyle w:val="4"/>
        <w:spacing w:line="360" w:lineRule="auto"/>
        <w:ind w:firstLineChars="200"/>
        <w:rPr>
          <w:rFonts w:hint="default" w:ascii="Times New Roman" w:hAnsi="Times New Roman"/>
        </w:rPr>
      </w:pPr>
      <w:bookmarkStart w:id="50" w:name="_Toc1631134026"/>
      <w:r>
        <w:rPr>
          <w:rFonts w:hint="default" w:ascii="Times New Roman" w:hAnsi="Times New Roman"/>
        </w:rPr>
        <w:t>4.3.3 Activity Restrictions</w:t>
      </w:r>
      <w:bookmarkEnd w:id="50"/>
    </w:p>
    <w:p w14:paraId="2007587A">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There are no activity restrictions. Participants may participate in light recreational activities during the study.</w:t>
      </w:r>
    </w:p>
    <w:p w14:paraId="5C01E424">
      <w:pPr>
        <w:pStyle w:val="4"/>
        <w:spacing w:line="360" w:lineRule="auto"/>
        <w:ind w:firstLineChars="200"/>
        <w:rPr>
          <w:rFonts w:hint="default" w:ascii="Times New Roman" w:hAnsi="Times New Roman"/>
        </w:rPr>
      </w:pPr>
      <w:bookmarkStart w:id="51" w:name="_Toc1840821027"/>
      <w:r>
        <w:rPr>
          <w:rFonts w:hint="default" w:ascii="Times New Roman" w:hAnsi="Times New Roman"/>
        </w:rPr>
        <w:t>4.3.4 Contraception</w:t>
      </w:r>
      <w:bookmarkEnd w:id="51"/>
    </w:p>
    <w:p w14:paraId="71E2B47A">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lang w:val="en-US"/>
        </w:rPr>
        <w:t>Cadonilimab</w:t>
      </w:r>
      <w:r>
        <w:rPr>
          <w:rFonts w:ascii="Times New Roman" w:hAnsi="Times New Roman" w:cs="Times New Roman"/>
          <w:sz w:val="24"/>
        </w:rPr>
        <w:t xml:space="preserve"> may have adverse effects on a fetus in utero. Refer to Appendix (sprint) for approved methods of contraception. For this study, male participants will be considered to be of non-reproductive potential if they have azoospermia (whether due to having had a vasectomy or due to an underlying medical condition).</w:t>
      </w:r>
    </w:p>
    <w:p w14:paraId="62ADF8A2">
      <w:pPr>
        <w:pStyle w:val="4"/>
        <w:spacing w:line="360" w:lineRule="auto"/>
        <w:ind w:firstLineChars="200"/>
        <w:rPr>
          <w:rFonts w:hint="default" w:ascii="Times New Roman" w:hAnsi="Times New Roman"/>
        </w:rPr>
      </w:pPr>
      <w:bookmarkStart w:id="52" w:name="_Toc2029582107"/>
      <w:r>
        <w:rPr>
          <w:rFonts w:hint="default" w:ascii="Times New Roman" w:hAnsi="Times New Roman"/>
        </w:rPr>
        <w:t>4.3.5 Pregnancy</w:t>
      </w:r>
      <w:bookmarkEnd w:id="52"/>
    </w:p>
    <w:p w14:paraId="7BD193C9">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If a participant inadvertently becomes pregnant while on treatment with Cadonilimab, the participant will be immediately discontinued from study treatment. The site will contact the participant at least monthly and document the participant's status until the pregnancy has been completed or terminated. The outcome of the pregnancy will be reported within 2 working days if the outcome is a serious adverse event (SAE) (e.g, death, abortion, congenital anomaly, or other disabling or life-threatening complication to the mother or newborn). The study Investigator will make every effort to obtain permission to follow the outcome of the pregnancy and report the condition of the fetus or newborn.</w:t>
      </w:r>
    </w:p>
    <w:p w14:paraId="0EEC1987">
      <w:pPr>
        <w:pStyle w:val="4"/>
        <w:spacing w:line="360" w:lineRule="auto"/>
        <w:ind w:firstLineChars="200"/>
        <w:rPr>
          <w:rFonts w:hint="default" w:ascii="Times New Roman" w:hAnsi="Times New Roman"/>
        </w:rPr>
      </w:pPr>
      <w:bookmarkStart w:id="53" w:name="_Toc556223401"/>
      <w:r>
        <w:rPr>
          <w:rFonts w:hint="default" w:ascii="Times New Roman" w:hAnsi="Times New Roman"/>
        </w:rPr>
        <w:t>4.3.6 Use in Nursing Women</w:t>
      </w:r>
      <w:bookmarkEnd w:id="53"/>
    </w:p>
    <w:p w14:paraId="20673161">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 xml:space="preserve">It is unknown whether </w:t>
      </w:r>
      <w:r>
        <w:rPr>
          <w:rFonts w:ascii="Times New Roman" w:hAnsi="Times New Roman" w:cs="Times New Roman"/>
          <w:sz w:val="24"/>
          <w:lang w:val="en-US"/>
        </w:rPr>
        <w:t>Cadonilimab</w:t>
      </w:r>
      <w:r>
        <w:rPr>
          <w:rFonts w:ascii="Times New Roman" w:hAnsi="Times New Roman" w:cs="Times New Roman"/>
          <w:sz w:val="24"/>
        </w:rPr>
        <w:t xml:space="preserve"> is excreted in human milk. Since many drugs are excreted in human milk, and because of the potential for serious adverse reactions in the nursing infant, participants who are breast-feeding are not eligible for enrollment.</w:t>
      </w:r>
    </w:p>
    <w:p w14:paraId="0CB50B32">
      <w:pPr>
        <w:pStyle w:val="4"/>
        <w:spacing w:line="360" w:lineRule="auto"/>
        <w:ind w:firstLineChars="200"/>
        <w:rPr>
          <w:rFonts w:hint="default" w:ascii="Times New Roman" w:hAnsi="Times New Roman"/>
        </w:rPr>
      </w:pPr>
      <w:bookmarkStart w:id="54" w:name="_Toc450385216"/>
      <w:r>
        <w:rPr>
          <w:rFonts w:hint="default" w:ascii="Times New Roman" w:hAnsi="Times New Roman"/>
        </w:rPr>
        <w:t>4.4 Participant Replacement Strategy</w:t>
      </w:r>
      <w:bookmarkEnd w:id="54"/>
    </w:p>
    <w:p w14:paraId="0283991A">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A participant who discontinues from study treatment or withdraws from the study will not be replaced.</w:t>
      </w:r>
    </w:p>
    <w:p w14:paraId="6BB8F6B9">
      <w:pPr>
        <w:pStyle w:val="2"/>
        <w:spacing w:line="360" w:lineRule="auto"/>
        <w:ind w:firstLineChars="200"/>
        <w:rPr>
          <w:rFonts w:ascii="Times New Roman" w:hAnsi="Times New Roman" w:cs="Times New Roman"/>
        </w:rPr>
      </w:pPr>
      <w:bookmarkStart w:id="55" w:name="_Toc1891953284"/>
      <w:bookmarkStart w:id="56" w:name="_Toc1874981820"/>
      <w:r>
        <w:rPr>
          <w:rFonts w:ascii="Times New Roman" w:hAnsi="Times New Roman" w:cs="Times New Roman"/>
        </w:rPr>
        <w:t>5 Patient Enrollment</w:t>
      </w:r>
      <w:bookmarkEnd w:id="55"/>
      <w:bookmarkEnd w:id="56"/>
    </w:p>
    <w:p w14:paraId="7F8A2CCC">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The patient must be aware of the neoplastic nature of his/her disease and willingly consent after being informed of the procedure to be followed, the experimental nature of the therapy, alternatives, potential benefits, side-effects, risks, and discomforts. Current human protection committee approval of this protocol and a consent form is required prior to patient consent and enrollment.</w:t>
      </w:r>
    </w:p>
    <w:p w14:paraId="3029E53D">
      <w:pPr>
        <w:pStyle w:val="2"/>
        <w:spacing w:line="360" w:lineRule="auto"/>
        <w:ind w:firstLineChars="200"/>
        <w:rPr>
          <w:rFonts w:ascii="Times New Roman" w:hAnsi="Times New Roman" w:cs="Times New Roman"/>
        </w:rPr>
      </w:pPr>
      <w:bookmarkStart w:id="57" w:name="_Toc268483059"/>
      <w:bookmarkStart w:id="58" w:name="_Toc644412662"/>
      <w:r>
        <w:rPr>
          <w:rFonts w:ascii="Times New Roman" w:hAnsi="Times New Roman" w:cs="Times New Roman"/>
        </w:rPr>
        <w:t>6 Data and Specimen Submission</w:t>
      </w:r>
      <w:bookmarkEnd w:id="57"/>
      <w:bookmarkEnd w:id="58"/>
    </w:p>
    <w:p w14:paraId="0E010673">
      <w:pPr>
        <w:pStyle w:val="4"/>
        <w:spacing w:line="360" w:lineRule="auto"/>
        <w:ind w:firstLineChars="200"/>
        <w:rPr>
          <w:rFonts w:hint="default" w:ascii="Times New Roman" w:hAnsi="Times New Roman"/>
        </w:rPr>
      </w:pPr>
      <w:bookmarkStart w:id="59" w:name="_Toc531630266"/>
      <w:r>
        <w:rPr>
          <w:rFonts w:hint="default" w:ascii="Times New Roman" w:hAnsi="Times New Roman"/>
        </w:rPr>
        <w:t>6.1 Data Collection and submission</w:t>
      </w:r>
      <w:bookmarkEnd w:id="59"/>
    </w:p>
    <w:p w14:paraId="58EEA586">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All data collected during the study will be recorded in each subject's individual c</w:t>
      </w:r>
      <w:r>
        <w:rPr>
          <w:rFonts w:hint="eastAsia" w:ascii="Times New Roman" w:hAnsi="Times New Roman" w:cs="Times New Roman"/>
          <w:sz w:val="24"/>
        </w:rPr>
        <w:t xml:space="preserve">ase </w:t>
      </w:r>
      <w:r>
        <w:rPr>
          <w:rFonts w:ascii="Times New Roman" w:hAnsi="Times New Roman" w:cs="Times New Roman"/>
          <w:sz w:val="24"/>
        </w:rPr>
        <w:t>r</w:t>
      </w:r>
      <w:r>
        <w:rPr>
          <w:rFonts w:hint="eastAsia" w:ascii="Times New Roman" w:hAnsi="Times New Roman" w:cs="Times New Roman"/>
          <w:sz w:val="24"/>
        </w:rPr>
        <w:t xml:space="preserve">eport </w:t>
      </w:r>
      <w:r>
        <w:rPr>
          <w:rFonts w:ascii="Times New Roman" w:hAnsi="Times New Roman" w:cs="Times New Roman"/>
          <w:sz w:val="24"/>
        </w:rPr>
        <w:t>f</w:t>
      </w:r>
      <w:r>
        <w:rPr>
          <w:rFonts w:hint="eastAsia" w:ascii="Times New Roman" w:hAnsi="Times New Roman" w:cs="Times New Roman"/>
          <w:sz w:val="24"/>
        </w:rPr>
        <w:t>orm</w:t>
      </w:r>
      <w:r>
        <w:rPr>
          <w:rFonts w:ascii="Times New Roman" w:hAnsi="Times New Roman" w:cs="Times New Roman"/>
          <w:sz w:val="24"/>
        </w:rPr>
        <w:t xml:space="preserve"> (CRF). The sponsor or its designee will provide the CRFs along with instructions for completion. Any modifications made to the CRFs will be automatically captured by the audit trail function of the electronic data capture (EDC) system. CRFs should be maintained in the most current version to allow monitors to review the subject's status throughout the study.</w:t>
      </w:r>
    </w:p>
    <w:p w14:paraId="05A18355">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CRFs should be completed promptly following each follow-up visit, and any queries should be resolved as soon as possible. CRFs must be finalized, reviewed, and signed by the investigator as soon as possible after the subject's final follow-up visit.</w:t>
      </w:r>
    </w:p>
    <w:p w14:paraId="5B432506">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A completed CRF is required for every subject who has signed the informed consent form (ICF) and passed all screening procedures. If a subject does not receive treatment, the reason must be documented in the CRF. All external data sources (e.g., central laboratory results, pharmacokinetic/pharmacodynamic (PK/PD) data) will be managed according to the data management plan.</w:t>
      </w:r>
    </w:p>
    <w:p w14:paraId="1EB6883E">
      <w:pPr>
        <w:pStyle w:val="4"/>
        <w:spacing w:line="360" w:lineRule="auto"/>
        <w:ind w:firstLineChars="200"/>
        <w:rPr>
          <w:rFonts w:hint="default" w:ascii="Times New Roman" w:hAnsi="Times New Roman"/>
        </w:rPr>
      </w:pPr>
      <w:bookmarkStart w:id="60" w:name="_Toc1577909142"/>
      <w:r>
        <w:rPr>
          <w:rFonts w:hint="default" w:ascii="Times New Roman" w:hAnsi="Times New Roman"/>
        </w:rPr>
        <w:t>6.2 Biospecimen Collection</w:t>
      </w:r>
      <w:bookmarkEnd w:id="60"/>
    </w:p>
    <w:p w14:paraId="127E50A8">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This study requires the collection of peripheral blood and/or tumor tissue at predefined time points for protocol-specified analyses to explore predictive and prognostic biomarkers related to treatment efficacy, survival outcomes, and TRAE</w:t>
      </w:r>
      <w:r>
        <w:rPr>
          <w:rFonts w:hint="eastAsia" w:ascii="Times New Roman" w:hAnsi="Times New Roman" w:cs="Times New Roman"/>
          <w:sz w:val="24"/>
        </w:rPr>
        <w:t>s</w:t>
      </w:r>
      <w:r>
        <w:rPr>
          <w:rFonts w:ascii="Times New Roman" w:hAnsi="Times New Roman" w:cs="Times New Roman"/>
          <w:sz w:val="24"/>
        </w:rPr>
        <w:t>.</w:t>
      </w:r>
    </w:p>
    <w:p w14:paraId="4E343E9E">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 xml:space="preserve">Core tumor biopsy samples will be obtained prior to the initiation of therapy. Tissue from a formalin-fixed biopsy of a tumor lesion not previously irradiated must be collected for </w:t>
      </w:r>
      <w:r>
        <w:rPr>
          <w:rFonts w:hint="eastAsia" w:ascii="Times New Roman" w:hAnsi="Times New Roman" w:cs="Times New Roman"/>
          <w:sz w:val="24"/>
        </w:rPr>
        <w:t>multi</w:t>
      </w:r>
      <w:r>
        <w:rPr>
          <w:rFonts w:ascii="Times New Roman" w:hAnsi="Times New Roman" w:cs="Times New Roman"/>
          <w:sz w:val="24"/>
        </w:rPr>
        <w:t>-</w:t>
      </w:r>
      <w:r>
        <w:rPr>
          <w:rFonts w:hint="eastAsia" w:ascii="Times New Roman" w:hAnsi="Times New Roman" w:cs="Times New Roman"/>
          <w:sz w:val="24"/>
        </w:rPr>
        <w:t>omics</w:t>
      </w:r>
      <w:r>
        <w:rPr>
          <w:rFonts w:ascii="Times New Roman" w:hAnsi="Times New Roman" w:cs="Times New Roman"/>
          <w:sz w:val="24"/>
        </w:rPr>
        <w:t xml:space="preserve"> sequencing and multiplex immunofluorescence staining. Specific instructions for biospecimen collection can be found in the correlative sciences manual.</w:t>
      </w:r>
    </w:p>
    <w:p w14:paraId="1F1B9AF3">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Peripheral blood biospecimens will be collected at each of these 9 time points: Baseline (pre-treatment on C1D1 of induction immunotherapy) / D1 of concurrent chemoradiation therapy / D1 of consolidation chemotherapy / 3 months after consolidation chemotherapy during adjuvant immunotherapy / 6 months after consolidation chemotherapy during adjuvant immunotherapy / end of study 3 months after end of treatment / 6 months after end of treatment / 12 months after end of treatment.</w:t>
      </w:r>
    </w:p>
    <w:p w14:paraId="79C654BD">
      <w:pPr>
        <w:pStyle w:val="2"/>
        <w:spacing w:line="360" w:lineRule="auto"/>
        <w:ind w:firstLineChars="200"/>
        <w:rPr>
          <w:rFonts w:ascii="Times New Roman" w:hAnsi="Times New Roman" w:cs="Times New Roman"/>
        </w:rPr>
      </w:pPr>
      <w:bookmarkStart w:id="61" w:name="_Toc643392791"/>
      <w:bookmarkStart w:id="62" w:name="_Toc883578413"/>
      <w:r>
        <w:rPr>
          <w:rFonts w:ascii="Times New Roman" w:hAnsi="Times New Roman" w:cs="Times New Roman"/>
        </w:rPr>
        <w:t>7 Schedule of Assessments</w:t>
      </w:r>
      <w:bookmarkEnd w:id="61"/>
      <w:bookmarkEnd w:id="62"/>
    </w:p>
    <w:p w14:paraId="11EBBD73">
      <w:pPr>
        <w:widowControl/>
        <w:spacing w:line="360" w:lineRule="auto"/>
        <w:ind w:firstLine="480" w:firstLineChars="200"/>
        <w:jc w:val="center"/>
        <w:rPr>
          <w:rFonts w:ascii="Times New Roman" w:hAnsi="Times New Roman" w:eastAsia="宋体" w:cs="Times New Roman"/>
          <w:color w:val="231F20"/>
          <w:kern w:val="0"/>
          <w:sz w:val="24"/>
          <w:lang w:bidi="ar"/>
        </w:rPr>
      </w:pPr>
      <w:r>
        <w:rPr>
          <w:rFonts w:ascii="Times New Roman" w:hAnsi="Times New Roman" w:eastAsia="宋体" w:cs="Times New Roman"/>
          <w:b/>
          <w:bCs/>
          <w:kern w:val="0"/>
          <w:sz w:val="24"/>
          <w:lang w:bidi="ar"/>
        </w:rPr>
        <w:t>Table 1. Study Assessments Schedule</w:t>
      </w:r>
    </w:p>
    <w:tbl>
      <w:tblPr>
        <w:tblStyle w:val="15"/>
        <w:tblW w:w="56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8"/>
        <w:gridCol w:w="1290"/>
        <w:gridCol w:w="1403"/>
        <w:gridCol w:w="1726"/>
        <w:gridCol w:w="1419"/>
        <w:gridCol w:w="1644"/>
      </w:tblGrid>
      <w:tr w14:paraId="2D49D6C4">
        <w:trPr>
          <w:jc w:val="center"/>
        </w:trPr>
        <w:tc>
          <w:tcPr>
            <w:tcW w:w="1155" w:type="pct"/>
            <w:vMerge w:val="restart"/>
            <w:shd w:val="clear" w:color="auto" w:fill="F2F2F2"/>
            <w:tcMar>
              <w:top w:w="120" w:type="dxa"/>
              <w:left w:w="120" w:type="dxa"/>
              <w:bottom w:w="120" w:type="dxa"/>
              <w:right w:w="120" w:type="dxa"/>
            </w:tcMar>
            <w:vAlign w:val="center"/>
          </w:tcPr>
          <w:p w14:paraId="486CFD6C">
            <w:pPr>
              <w:widowControl/>
              <w:spacing w:line="360" w:lineRule="auto"/>
              <w:jc w:val="center"/>
              <w:rPr>
                <w:rFonts w:ascii="Times New Roman" w:hAnsi="Times New Roman" w:cs="Times New Roman"/>
                <w:b/>
                <w:bCs/>
                <w:sz w:val="22"/>
                <w:szCs w:val="22"/>
              </w:rPr>
            </w:pPr>
            <w:r>
              <w:rPr>
                <w:rFonts w:ascii="Times New Roman" w:hAnsi="Times New Roman" w:eastAsia="宋体" w:cs="Times New Roman"/>
                <w:b/>
                <w:bCs/>
                <w:kern w:val="0"/>
                <w:sz w:val="22"/>
                <w:szCs w:val="22"/>
                <w:lang w:bidi="ar"/>
              </w:rPr>
              <w:t>Assessment</w:t>
            </w:r>
          </w:p>
        </w:tc>
        <w:tc>
          <w:tcPr>
            <w:tcW w:w="3845" w:type="pct"/>
            <w:gridSpan w:val="5"/>
            <w:shd w:val="clear" w:color="auto" w:fill="F2F2F2"/>
            <w:tcMar>
              <w:top w:w="120" w:type="dxa"/>
              <w:left w:w="120" w:type="dxa"/>
              <w:bottom w:w="120" w:type="dxa"/>
              <w:right w:w="120" w:type="dxa"/>
            </w:tcMar>
            <w:vAlign w:val="center"/>
          </w:tcPr>
          <w:p w14:paraId="5B1D8C07">
            <w:pPr>
              <w:widowControl/>
              <w:spacing w:line="360" w:lineRule="auto"/>
              <w:jc w:val="center"/>
              <w:rPr>
                <w:rFonts w:ascii="Times New Roman" w:hAnsi="Times New Roman" w:cs="Times New Roman"/>
                <w:b/>
                <w:bCs/>
                <w:sz w:val="22"/>
                <w:szCs w:val="22"/>
              </w:rPr>
            </w:pPr>
            <w:r>
              <w:rPr>
                <w:rFonts w:ascii="Times New Roman" w:hAnsi="Times New Roman" w:eastAsia="宋体" w:cs="Times New Roman"/>
                <w:b/>
                <w:bCs/>
                <w:kern w:val="0"/>
                <w:sz w:val="22"/>
                <w:szCs w:val="22"/>
                <w:lang w:bidi="ar"/>
              </w:rPr>
              <w:t>Study Phase</w:t>
            </w:r>
          </w:p>
        </w:tc>
      </w:tr>
      <w:tr w14:paraId="190D4E85">
        <w:trPr>
          <w:jc w:val="center"/>
        </w:trPr>
        <w:tc>
          <w:tcPr>
            <w:tcW w:w="1155" w:type="pct"/>
            <w:vMerge w:val="continue"/>
            <w:shd w:val="clear" w:color="auto" w:fill="F2F2F2"/>
            <w:tcMar>
              <w:top w:w="120" w:type="dxa"/>
              <w:left w:w="120" w:type="dxa"/>
              <w:bottom w:w="120" w:type="dxa"/>
              <w:right w:w="120" w:type="dxa"/>
            </w:tcMar>
            <w:vAlign w:val="center"/>
          </w:tcPr>
          <w:p w14:paraId="444DA86D">
            <w:pPr>
              <w:spacing w:line="360" w:lineRule="auto"/>
              <w:rPr>
                <w:rFonts w:ascii="Times New Roman" w:hAnsi="Times New Roman" w:cs="Times New Roman"/>
                <w:sz w:val="22"/>
                <w:szCs w:val="22"/>
              </w:rPr>
            </w:pPr>
          </w:p>
        </w:tc>
        <w:tc>
          <w:tcPr>
            <w:tcW w:w="663" w:type="pct"/>
            <w:shd w:val="clear" w:color="auto" w:fill="F2F2F2"/>
            <w:tcMar>
              <w:top w:w="120" w:type="dxa"/>
              <w:left w:w="120" w:type="dxa"/>
              <w:bottom w:w="120" w:type="dxa"/>
              <w:right w:w="120" w:type="dxa"/>
            </w:tcMar>
            <w:vAlign w:val="center"/>
          </w:tcPr>
          <w:p w14:paraId="55FFB757">
            <w:pPr>
              <w:widowControl/>
              <w:spacing w:line="360" w:lineRule="auto"/>
              <w:jc w:val="center"/>
              <w:rPr>
                <w:rFonts w:ascii="Times New Roman" w:hAnsi="Times New Roman" w:cs="Times New Roman"/>
                <w:b/>
                <w:bCs/>
                <w:sz w:val="22"/>
                <w:szCs w:val="22"/>
              </w:rPr>
            </w:pPr>
            <w:r>
              <w:rPr>
                <w:rFonts w:ascii="Times New Roman" w:hAnsi="Times New Roman" w:eastAsia="宋体" w:cs="Times New Roman"/>
                <w:b/>
                <w:bCs/>
                <w:kern w:val="0"/>
                <w:sz w:val="22"/>
                <w:szCs w:val="22"/>
                <w:lang w:bidi="ar"/>
              </w:rPr>
              <w:t>Screening</w:t>
            </w:r>
            <w:r>
              <w:rPr>
                <w:rFonts w:ascii="Times New Roman" w:hAnsi="Times New Roman" w:eastAsia="宋体" w:cs="Times New Roman"/>
                <w:b/>
                <w:bCs/>
                <w:kern w:val="0"/>
                <w:sz w:val="22"/>
                <w:szCs w:val="22"/>
                <w:vertAlign w:val="superscript"/>
                <w:lang w:bidi="ar"/>
              </w:rPr>
              <w:t>1</w:t>
            </w:r>
          </w:p>
        </w:tc>
        <w:tc>
          <w:tcPr>
            <w:tcW w:w="721" w:type="pct"/>
            <w:shd w:val="clear" w:color="auto" w:fill="F2F2F2"/>
            <w:tcMar>
              <w:top w:w="120" w:type="dxa"/>
              <w:left w:w="120" w:type="dxa"/>
              <w:bottom w:w="120" w:type="dxa"/>
              <w:right w:w="120" w:type="dxa"/>
            </w:tcMar>
            <w:vAlign w:val="center"/>
          </w:tcPr>
          <w:p w14:paraId="4C560406">
            <w:pPr>
              <w:widowControl/>
              <w:spacing w:line="360" w:lineRule="auto"/>
              <w:jc w:val="center"/>
              <w:rPr>
                <w:rFonts w:ascii="Times New Roman" w:hAnsi="Times New Roman" w:cs="Times New Roman"/>
                <w:b/>
                <w:bCs/>
                <w:sz w:val="22"/>
                <w:szCs w:val="22"/>
              </w:rPr>
            </w:pPr>
            <w:r>
              <w:rPr>
                <w:rFonts w:ascii="Times New Roman" w:hAnsi="Times New Roman" w:eastAsia="宋体" w:cs="Times New Roman"/>
                <w:b/>
                <w:bCs/>
                <w:kern w:val="0"/>
                <w:sz w:val="22"/>
                <w:szCs w:val="22"/>
                <w:lang w:bidi="ar"/>
              </w:rPr>
              <w:t>Treatment Cycle</w:t>
            </w:r>
          </w:p>
        </w:tc>
        <w:tc>
          <w:tcPr>
            <w:tcW w:w="887" w:type="pct"/>
            <w:shd w:val="clear" w:color="auto" w:fill="F2F2F2"/>
            <w:tcMar>
              <w:top w:w="120" w:type="dxa"/>
              <w:left w:w="120" w:type="dxa"/>
              <w:bottom w:w="120" w:type="dxa"/>
              <w:right w:w="120" w:type="dxa"/>
            </w:tcMar>
            <w:vAlign w:val="center"/>
          </w:tcPr>
          <w:p w14:paraId="3D221E59">
            <w:pPr>
              <w:widowControl/>
              <w:spacing w:line="360" w:lineRule="auto"/>
              <w:jc w:val="center"/>
              <w:rPr>
                <w:rFonts w:ascii="Times New Roman" w:hAnsi="Times New Roman" w:cs="Times New Roman"/>
                <w:b/>
                <w:bCs/>
                <w:sz w:val="22"/>
                <w:szCs w:val="22"/>
              </w:rPr>
            </w:pPr>
            <w:r>
              <w:rPr>
                <w:rFonts w:ascii="Times New Roman" w:hAnsi="Times New Roman" w:eastAsia="宋体" w:cs="Times New Roman"/>
                <w:b/>
                <w:bCs/>
                <w:kern w:val="0"/>
                <w:sz w:val="22"/>
                <w:szCs w:val="22"/>
                <w:lang w:bidi="ar"/>
              </w:rPr>
              <w:t>End of Treatment Visit</w:t>
            </w:r>
            <w:r>
              <w:rPr>
                <w:rFonts w:ascii="Times New Roman" w:hAnsi="Times New Roman" w:eastAsia="宋体" w:cs="Times New Roman"/>
                <w:b/>
                <w:bCs/>
                <w:kern w:val="0"/>
                <w:sz w:val="22"/>
                <w:szCs w:val="22"/>
                <w:vertAlign w:val="superscript"/>
                <w:lang w:bidi="ar"/>
              </w:rPr>
              <w:t>2</w:t>
            </w:r>
          </w:p>
        </w:tc>
        <w:tc>
          <w:tcPr>
            <w:tcW w:w="729" w:type="pct"/>
            <w:shd w:val="clear" w:color="auto" w:fill="F2F2F2"/>
            <w:tcMar>
              <w:top w:w="120" w:type="dxa"/>
              <w:left w:w="120" w:type="dxa"/>
              <w:bottom w:w="120" w:type="dxa"/>
              <w:right w:w="120" w:type="dxa"/>
            </w:tcMar>
            <w:vAlign w:val="center"/>
          </w:tcPr>
          <w:p w14:paraId="1A65255F">
            <w:pPr>
              <w:widowControl/>
              <w:spacing w:line="360" w:lineRule="auto"/>
              <w:jc w:val="center"/>
              <w:rPr>
                <w:rFonts w:ascii="Times New Roman" w:hAnsi="Times New Roman" w:cs="Times New Roman"/>
                <w:b/>
                <w:bCs/>
                <w:sz w:val="22"/>
                <w:szCs w:val="22"/>
              </w:rPr>
            </w:pPr>
            <w:r>
              <w:rPr>
                <w:rFonts w:ascii="Times New Roman" w:hAnsi="Times New Roman" w:eastAsia="宋体" w:cs="Times New Roman"/>
                <w:b/>
                <w:bCs/>
                <w:kern w:val="0"/>
                <w:sz w:val="22"/>
                <w:szCs w:val="22"/>
                <w:lang w:bidi="ar"/>
              </w:rPr>
              <w:t>Safety Follow-up</w:t>
            </w:r>
            <w:r>
              <w:rPr>
                <w:rFonts w:ascii="Times New Roman" w:hAnsi="Times New Roman" w:eastAsia="宋体" w:cs="Times New Roman"/>
                <w:b/>
                <w:bCs/>
                <w:kern w:val="0"/>
                <w:sz w:val="22"/>
                <w:szCs w:val="22"/>
                <w:vertAlign w:val="superscript"/>
                <w:lang w:bidi="ar"/>
              </w:rPr>
              <w:t>3</w:t>
            </w:r>
          </w:p>
        </w:tc>
        <w:tc>
          <w:tcPr>
            <w:tcW w:w="845" w:type="pct"/>
            <w:shd w:val="clear" w:color="auto" w:fill="F2F2F2"/>
            <w:tcMar>
              <w:top w:w="120" w:type="dxa"/>
              <w:left w:w="120" w:type="dxa"/>
              <w:bottom w:w="120" w:type="dxa"/>
              <w:right w:w="120" w:type="dxa"/>
            </w:tcMar>
            <w:vAlign w:val="center"/>
          </w:tcPr>
          <w:p w14:paraId="7F36E934">
            <w:pPr>
              <w:widowControl/>
              <w:spacing w:line="360" w:lineRule="auto"/>
              <w:jc w:val="center"/>
              <w:rPr>
                <w:rFonts w:ascii="Times New Roman" w:hAnsi="Times New Roman" w:cs="Times New Roman"/>
                <w:b/>
                <w:bCs/>
                <w:sz w:val="22"/>
                <w:szCs w:val="22"/>
              </w:rPr>
            </w:pPr>
            <w:r>
              <w:rPr>
                <w:rFonts w:ascii="Times New Roman" w:hAnsi="Times New Roman" w:eastAsia="宋体" w:cs="Times New Roman"/>
                <w:b/>
                <w:bCs/>
                <w:kern w:val="0"/>
                <w:sz w:val="22"/>
                <w:szCs w:val="22"/>
                <w:lang w:bidi="ar"/>
              </w:rPr>
              <w:t>Survival Follow-up</w:t>
            </w:r>
            <w:r>
              <w:rPr>
                <w:rFonts w:ascii="Times New Roman" w:hAnsi="Times New Roman" w:eastAsia="宋体" w:cs="Times New Roman"/>
                <w:b/>
                <w:bCs/>
                <w:kern w:val="0"/>
                <w:sz w:val="22"/>
                <w:szCs w:val="22"/>
                <w:vertAlign w:val="superscript"/>
                <w:lang w:bidi="ar"/>
              </w:rPr>
              <w:t>4</w:t>
            </w:r>
          </w:p>
        </w:tc>
      </w:tr>
      <w:tr w14:paraId="4E868F6A">
        <w:trPr>
          <w:jc w:val="center"/>
        </w:trPr>
        <w:tc>
          <w:tcPr>
            <w:tcW w:w="1155" w:type="pct"/>
            <w:tcMar>
              <w:top w:w="120" w:type="dxa"/>
              <w:left w:w="120" w:type="dxa"/>
              <w:bottom w:w="120" w:type="dxa"/>
              <w:right w:w="120" w:type="dxa"/>
            </w:tcMar>
            <w:vAlign w:val="center"/>
          </w:tcPr>
          <w:p w14:paraId="39FF5E5C">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Study Day (Window)</w:t>
            </w:r>
          </w:p>
        </w:tc>
        <w:tc>
          <w:tcPr>
            <w:tcW w:w="663" w:type="pct"/>
            <w:tcMar>
              <w:top w:w="120" w:type="dxa"/>
              <w:left w:w="120" w:type="dxa"/>
              <w:bottom w:w="120" w:type="dxa"/>
              <w:right w:w="120" w:type="dxa"/>
            </w:tcMar>
            <w:vAlign w:val="center"/>
          </w:tcPr>
          <w:p w14:paraId="68DA90F9">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-28 to -1</w:t>
            </w:r>
          </w:p>
        </w:tc>
        <w:tc>
          <w:tcPr>
            <w:tcW w:w="721" w:type="pct"/>
            <w:tcMar>
              <w:top w:w="120" w:type="dxa"/>
              <w:left w:w="120" w:type="dxa"/>
              <w:bottom w:w="120" w:type="dxa"/>
              <w:right w:w="120" w:type="dxa"/>
            </w:tcMar>
            <w:vAlign w:val="center"/>
          </w:tcPr>
          <w:p w14:paraId="3259D0E9">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1 (± 3)</w:t>
            </w:r>
          </w:p>
        </w:tc>
        <w:tc>
          <w:tcPr>
            <w:tcW w:w="887" w:type="pct"/>
            <w:tcMar>
              <w:top w:w="120" w:type="dxa"/>
              <w:left w:w="120" w:type="dxa"/>
              <w:bottom w:w="120" w:type="dxa"/>
              <w:right w:w="120" w:type="dxa"/>
            </w:tcMar>
            <w:vAlign w:val="center"/>
          </w:tcPr>
          <w:p w14:paraId="2BDB94DC">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0-7 days</w:t>
            </w:r>
          </w:p>
        </w:tc>
        <w:tc>
          <w:tcPr>
            <w:tcW w:w="729" w:type="pct"/>
            <w:tcMar>
              <w:top w:w="120" w:type="dxa"/>
              <w:left w:w="120" w:type="dxa"/>
              <w:bottom w:w="120" w:type="dxa"/>
              <w:right w:w="120" w:type="dxa"/>
            </w:tcMar>
            <w:vAlign w:val="center"/>
          </w:tcPr>
          <w:p w14:paraId="07FD19C6">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30±7 days after last dose</w:t>
            </w:r>
          </w:p>
        </w:tc>
        <w:tc>
          <w:tcPr>
            <w:tcW w:w="845" w:type="pct"/>
            <w:tcMar>
              <w:top w:w="120" w:type="dxa"/>
              <w:left w:w="120" w:type="dxa"/>
              <w:bottom w:w="120" w:type="dxa"/>
              <w:right w:w="120" w:type="dxa"/>
            </w:tcMar>
            <w:vAlign w:val="center"/>
          </w:tcPr>
          <w:p w14:paraId="3E761070">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Every 3 months</w:t>
            </w:r>
          </w:p>
        </w:tc>
      </w:tr>
      <w:tr w14:paraId="73108A21">
        <w:trPr>
          <w:jc w:val="center"/>
        </w:trPr>
        <w:tc>
          <w:tcPr>
            <w:tcW w:w="1155" w:type="pct"/>
            <w:tcMar>
              <w:top w:w="120" w:type="dxa"/>
              <w:left w:w="120" w:type="dxa"/>
              <w:bottom w:w="120" w:type="dxa"/>
              <w:right w:w="120" w:type="dxa"/>
            </w:tcMar>
            <w:vAlign w:val="center"/>
          </w:tcPr>
          <w:p w14:paraId="115B0645">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Informed Consent</w:t>
            </w:r>
          </w:p>
        </w:tc>
        <w:tc>
          <w:tcPr>
            <w:tcW w:w="663" w:type="pct"/>
            <w:tcMar>
              <w:top w:w="120" w:type="dxa"/>
              <w:left w:w="120" w:type="dxa"/>
              <w:bottom w:w="120" w:type="dxa"/>
              <w:right w:w="120" w:type="dxa"/>
            </w:tcMar>
            <w:vAlign w:val="center"/>
          </w:tcPr>
          <w:p w14:paraId="09DB85B5">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721" w:type="pct"/>
            <w:tcMar>
              <w:top w:w="120" w:type="dxa"/>
              <w:left w:w="120" w:type="dxa"/>
              <w:bottom w:w="120" w:type="dxa"/>
              <w:right w:w="120" w:type="dxa"/>
            </w:tcMar>
            <w:vAlign w:val="center"/>
          </w:tcPr>
          <w:p w14:paraId="6B037D05">
            <w:pPr>
              <w:spacing w:line="360" w:lineRule="auto"/>
              <w:rPr>
                <w:rFonts w:ascii="Times New Roman" w:hAnsi="Times New Roman" w:cs="Times New Roman"/>
                <w:sz w:val="22"/>
                <w:szCs w:val="22"/>
              </w:rPr>
            </w:pPr>
          </w:p>
        </w:tc>
        <w:tc>
          <w:tcPr>
            <w:tcW w:w="887" w:type="pct"/>
            <w:tcMar>
              <w:top w:w="120" w:type="dxa"/>
              <w:left w:w="120" w:type="dxa"/>
              <w:bottom w:w="120" w:type="dxa"/>
              <w:right w:w="120" w:type="dxa"/>
            </w:tcMar>
            <w:vAlign w:val="center"/>
          </w:tcPr>
          <w:p w14:paraId="68666857">
            <w:pPr>
              <w:spacing w:line="360" w:lineRule="auto"/>
              <w:rPr>
                <w:rFonts w:ascii="Times New Roman" w:hAnsi="Times New Roman" w:cs="Times New Roman"/>
                <w:sz w:val="22"/>
                <w:szCs w:val="22"/>
              </w:rPr>
            </w:pPr>
          </w:p>
        </w:tc>
        <w:tc>
          <w:tcPr>
            <w:tcW w:w="729" w:type="pct"/>
            <w:tcMar>
              <w:top w:w="120" w:type="dxa"/>
              <w:left w:w="120" w:type="dxa"/>
              <w:bottom w:w="120" w:type="dxa"/>
              <w:right w:w="120" w:type="dxa"/>
            </w:tcMar>
            <w:vAlign w:val="center"/>
          </w:tcPr>
          <w:p w14:paraId="77BD252D">
            <w:pPr>
              <w:spacing w:line="360" w:lineRule="auto"/>
              <w:rPr>
                <w:rFonts w:ascii="Times New Roman" w:hAnsi="Times New Roman" w:cs="Times New Roman"/>
                <w:sz w:val="22"/>
                <w:szCs w:val="22"/>
              </w:rPr>
            </w:pPr>
          </w:p>
        </w:tc>
        <w:tc>
          <w:tcPr>
            <w:tcW w:w="845" w:type="pct"/>
            <w:tcMar>
              <w:top w:w="120" w:type="dxa"/>
              <w:left w:w="120" w:type="dxa"/>
              <w:bottom w:w="120" w:type="dxa"/>
              <w:right w:w="120" w:type="dxa"/>
            </w:tcMar>
            <w:vAlign w:val="center"/>
          </w:tcPr>
          <w:p w14:paraId="2FB03793">
            <w:pPr>
              <w:spacing w:line="360" w:lineRule="auto"/>
              <w:rPr>
                <w:rFonts w:ascii="Times New Roman" w:hAnsi="Times New Roman" w:cs="Times New Roman"/>
                <w:sz w:val="22"/>
                <w:szCs w:val="22"/>
              </w:rPr>
            </w:pPr>
          </w:p>
        </w:tc>
      </w:tr>
      <w:tr w14:paraId="253400E1">
        <w:trPr>
          <w:jc w:val="center"/>
        </w:trPr>
        <w:tc>
          <w:tcPr>
            <w:tcW w:w="1155" w:type="pct"/>
            <w:tcMar>
              <w:top w:w="120" w:type="dxa"/>
              <w:left w:w="120" w:type="dxa"/>
              <w:bottom w:w="120" w:type="dxa"/>
              <w:right w:w="120" w:type="dxa"/>
            </w:tcMar>
            <w:vAlign w:val="center"/>
          </w:tcPr>
          <w:p w14:paraId="2FF95319">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Inclusion/Exclusion Criteria</w:t>
            </w:r>
          </w:p>
        </w:tc>
        <w:tc>
          <w:tcPr>
            <w:tcW w:w="663" w:type="pct"/>
            <w:tcMar>
              <w:top w:w="120" w:type="dxa"/>
              <w:left w:w="120" w:type="dxa"/>
              <w:bottom w:w="120" w:type="dxa"/>
              <w:right w:w="120" w:type="dxa"/>
            </w:tcMar>
            <w:vAlign w:val="center"/>
          </w:tcPr>
          <w:p w14:paraId="3A3475C6">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721" w:type="pct"/>
            <w:tcMar>
              <w:top w:w="120" w:type="dxa"/>
              <w:left w:w="120" w:type="dxa"/>
              <w:bottom w:w="120" w:type="dxa"/>
              <w:right w:w="120" w:type="dxa"/>
            </w:tcMar>
            <w:vAlign w:val="center"/>
          </w:tcPr>
          <w:p w14:paraId="33700241">
            <w:pPr>
              <w:spacing w:line="360" w:lineRule="auto"/>
              <w:rPr>
                <w:rFonts w:ascii="Times New Roman" w:hAnsi="Times New Roman" w:cs="Times New Roman"/>
                <w:sz w:val="22"/>
                <w:szCs w:val="22"/>
              </w:rPr>
            </w:pPr>
          </w:p>
        </w:tc>
        <w:tc>
          <w:tcPr>
            <w:tcW w:w="887" w:type="pct"/>
            <w:tcMar>
              <w:top w:w="120" w:type="dxa"/>
              <w:left w:w="120" w:type="dxa"/>
              <w:bottom w:w="120" w:type="dxa"/>
              <w:right w:w="120" w:type="dxa"/>
            </w:tcMar>
            <w:vAlign w:val="center"/>
          </w:tcPr>
          <w:p w14:paraId="2DD34389">
            <w:pPr>
              <w:spacing w:line="360" w:lineRule="auto"/>
              <w:rPr>
                <w:rFonts w:ascii="Times New Roman" w:hAnsi="Times New Roman" w:cs="Times New Roman"/>
                <w:sz w:val="22"/>
                <w:szCs w:val="22"/>
              </w:rPr>
            </w:pPr>
          </w:p>
        </w:tc>
        <w:tc>
          <w:tcPr>
            <w:tcW w:w="729" w:type="pct"/>
            <w:tcMar>
              <w:top w:w="120" w:type="dxa"/>
              <w:left w:w="120" w:type="dxa"/>
              <w:bottom w:w="120" w:type="dxa"/>
              <w:right w:w="120" w:type="dxa"/>
            </w:tcMar>
            <w:vAlign w:val="center"/>
          </w:tcPr>
          <w:p w14:paraId="7186A9C0">
            <w:pPr>
              <w:spacing w:line="360" w:lineRule="auto"/>
              <w:rPr>
                <w:rFonts w:ascii="Times New Roman" w:hAnsi="Times New Roman" w:cs="Times New Roman"/>
                <w:sz w:val="22"/>
                <w:szCs w:val="22"/>
              </w:rPr>
            </w:pPr>
          </w:p>
        </w:tc>
        <w:tc>
          <w:tcPr>
            <w:tcW w:w="845" w:type="pct"/>
            <w:tcMar>
              <w:top w:w="120" w:type="dxa"/>
              <w:left w:w="120" w:type="dxa"/>
              <w:bottom w:w="120" w:type="dxa"/>
              <w:right w:w="120" w:type="dxa"/>
            </w:tcMar>
            <w:vAlign w:val="center"/>
          </w:tcPr>
          <w:p w14:paraId="16B3D7E8">
            <w:pPr>
              <w:spacing w:line="360" w:lineRule="auto"/>
              <w:rPr>
                <w:rFonts w:ascii="Times New Roman" w:hAnsi="Times New Roman" w:cs="Times New Roman"/>
                <w:sz w:val="22"/>
                <w:szCs w:val="22"/>
              </w:rPr>
            </w:pPr>
          </w:p>
        </w:tc>
      </w:tr>
      <w:tr w14:paraId="0E362FB3">
        <w:trPr>
          <w:jc w:val="center"/>
        </w:trPr>
        <w:tc>
          <w:tcPr>
            <w:tcW w:w="1155" w:type="pct"/>
            <w:tcMar>
              <w:top w:w="120" w:type="dxa"/>
              <w:left w:w="120" w:type="dxa"/>
              <w:bottom w:w="120" w:type="dxa"/>
              <w:right w:w="120" w:type="dxa"/>
            </w:tcMar>
            <w:vAlign w:val="center"/>
          </w:tcPr>
          <w:p w14:paraId="312D489C">
            <w:pPr>
              <w:widowControl/>
              <w:spacing w:after="180" w:line="360" w:lineRule="auto"/>
              <w:ind w:firstLineChars="200"/>
              <w:jc w:val="center"/>
              <w:rPr>
                <w:rFonts w:ascii="Times New Roman" w:hAnsi="Times New Roman" w:eastAsia="宋体" w:cs="Times New Roman"/>
                <w:kern w:val="0"/>
                <w:sz w:val="22"/>
                <w:szCs w:val="22"/>
                <w:lang w:bidi="ar"/>
              </w:rPr>
            </w:pPr>
            <w:r>
              <w:rPr>
                <w:rFonts w:ascii="Times New Roman" w:hAnsi="Times New Roman" w:eastAsia="宋体" w:cs="Times New Roman"/>
                <w:kern w:val="0"/>
                <w:sz w:val="22"/>
                <w:szCs w:val="22"/>
                <w:lang w:bidi="ar"/>
              </w:rPr>
              <w:t>Demographics/</w:t>
            </w:r>
          </w:p>
          <w:p w14:paraId="77FE860A">
            <w:pPr>
              <w:widowControl/>
              <w:spacing w:after="180" w:line="360" w:lineRule="auto"/>
              <w:ind w:firstLineChars="200"/>
              <w:jc w:val="center"/>
              <w:rPr>
                <w:rFonts w:ascii="Times New Roman" w:hAnsi="Times New Roman" w:eastAsia="宋体" w:cs="Times New Roman"/>
                <w:kern w:val="0"/>
                <w:sz w:val="22"/>
                <w:szCs w:val="22"/>
                <w:lang w:bidi="ar"/>
              </w:rPr>
            </w:pPr>
            <w:r>
              <w:rPr>
                <w:rFonts w:ascii="Times New Roman" w:hAnsi="Times New Roman" w:eastAsia="宋体" w:cs="Times New Roman"/>
                <w:kern w:val="0"/>
                <w:sz w:val="22"/>
                <w:szCs w:val="22"/>
                <w:lang w:bidi="ar"/>
              </w:rPr>
              <w:t>Medical History/</w:t>
            </w:r>
          </w:p>
          <w:p w14:paraId="5FC3C3A2">
            <w:pPr>
              <w:widowControl/>
              <w:spacing w:after="180" w:line="360" w:lineRule="auto"/>
              <w:ind w:firstLineChars="200"/>
              <w:jc w:val="center"/>
              <w:rPr>
                <w:rFonts w:ascii="Times New Roman" w:hAnsi="Times New Roman" w:cs="Times New Roman"/>
                <w:sz w:val="22"/>
                <w:szCs w:val="22"/>
              </w:rPr>
            </w:pPr>
            <w:r>
              <w:rPr>
                <w:rFonts w:ascii="Times New Roman" w:hAnsi="Times New Roman" w:eastAsia="宋体" w:cs="Times New Roman"/>
                <w:kern w:val="0"/>
                <w:sz w:val="22"/>
                <w:szCs w:val="22"/>
                <w:lang w:bidi="ar"/>
              </w:rPr>
              <w:t>Prior Treatment</w:t>
            </w:r>
            <w:r>
              <w:rPr>
                <w:rFonts w:ascii="Times New Roman" w:hAnsi="Times New Roman" w:eastAsia="宋体" w:cs="Times New Roman"/>
                <w:kern w:val="0"/>
                <w:sz w:val="22"/>
                <w:szCs w:val="22"/>
                <w:vertAlign w:val="superscript"/>
                <w:lang w:bidi="ar"/>
              </w:rPr>
              <w:t>5</w:t>
            </w:r>
          </w:p>
        </w:tc>
        <w:tc>
          <w:tcPr>
            <w:tcW w:w="663" w:type="pct"/>
            <w:tcMar>
              <w:top w:w="120" w:type="dxa"/>
              <w:left w:w="120" w:type="dxa"/>
              <w:bottom w:w="120" w:type="dxa"/>
              <w:right w:w="120" w:type="dxa"/>
            </w:tcMar>
            <w:vAlign w:val="center"/>
          </w:tcPr>
          <w:p w14:paraId="48223B62">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721" w:type="pct"/>
            <w:tcMar>
              <w:top w:w="120" w:type="dxa"/>
              <w:left w:w="120" w:type="dxa"/>
              <w:bottom w:w="120" w:type="dxa"/>
              <w:right w:w="120" w:type="dxa"/>
            </w:tcMar>
            <w:vAlign w:val="center"/>
          </w:tcPr>
          <w:p w14:paraId="05C3E471">
            <w:pPr>
              <w:spacing w:line="360" w:lineRule="auto"/>
              <w:rPr>
                <w:rFonts w:ascii="Times New Roman" w:hAnsi="Times New Roman" w:cs="Times New Roman"/>
                <w:sz w:val="22"/>
                <w:szCs w:val="22"/>
              </w:rPr>
            </w:pPr>
          </w:p>
        </w:tc>
        <w:tc>
          <w:tcPr>
            <w:tcW w:w="887" w:type="pct"/>
            <w:tcMar>
              <w:top w:w="120" w:type="dxa"/>
              <w:left w:w="120" w:type="dxa"/>
              <w:bottom w:w="120" w:type="dxa"/>
              <w:right w:w="120" w:type="dxa"/>
            </w:tcMar>
            <w:vAlign w:val="center"/>
          </w:tcPr>
          <w:p w14:paraId="7EA07064">
            <w:pPr>
              <w:spacing w:line="360" w:lineRule="auto"/>
              <w:rPr>
                <w:rFonts w:ascii="Times New Roman" w:hAnsi="Times New Roman" w:cs="Times New Roman"/>
                <w:sz w:val="22"/>
                <w:szCs w:val="22"/>
              </w:rPr>
            </w:pPr>
          </w:p>
        </w:tc>
        <w:tc>
          <w:tcPr>
            <w:tcW w:w="729" w:type="pct"/>
            <w:tcMar>
              <w:top w:w="120" w:type="dxa"/>
              <w:left w:w="120" w:type="dxa"/>
              <w:bottom w:w="120" w:type="dxa"/>
              <w:right w:w="120" w:type="dxa"/>
            </w:tcMar>
            <w:vAlign w:val="center"/>
          </w:tcPr>
          <w:p w14:paraId="4FD2DF9D">
            <w:pPr>
              <w:spacing w:line="360" w:lineRule="auto"/>
              <w:rPr>
                <w:rFonts w:ascii="Times New Roman" w:hAnsi="Times New Roman" w:cs="Times New Roman"/>
                <w:sz w:val="22"/>
                <w:szCs w:val="22"/>
              </w:rPr>
            </w:pPr>
          </w:p>
        </w:tc>
        <w:tc>
          <w:tcPr>
            <w:tcW w:w="845" w:type="pct"/>
            <w:tcMar>
              <w:top w:w="120" w:type="dxa"/>
              <w:left w:w="120" w:type="dxa"/>
              <w:bottom w:w="120" w:type="dxa"/>
              <w:right w:w="120" w:type="dxa"/>
            </w:tcMar>
            <w:vAlign w:val="center"/>
          </w:tcPr>
          <w:p w14:paraId="2AD2E81B">
            <w:pPr>
              <w:spacing w:line="360" w:lineRule="auto"/>
              <w:rPr>
                <w:rFonts w:ascii="Times New Roman" w:hAnsi="Times New Roman" w:cs="Times New Roman"/>
                <w:sz w:val="22"/>
                <w:szCs w:val="22"/>
              </w:rPr>
            </w:pPr>
          </w:p>
        </w:tc>
      </w:tr>
      <w:tr w14:paraId="3392CDF8">
        <w:trPr>
          <w:jc w:val="center"/>
        </w:trPr>
        <w:tc>
          <w:tcPr>
            <w:tcW w:w="1155" w:type="pct"/>
            <w:tcMar>
              <w:top w:w="120" w:type="dxa"/>
              <w:left w:w="120" w:type="dxa"/>
              <w:bottom w:w="120" w:type="dxa"/>
              <w:right w:w="120" w:type="dxa"/>
            </w:tcMar>
            <w:vAlign w:val="center"/>
          </w:tcPr>
          <w:p w14:paraId="3678149F">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Vital Signs/Height and Weight</w:t>
            </w:r>
            <w:r>
              <w:rPr>
                <w:rFonts w:ascii="Times New Roman" w:hAnsi="Times New Roman" w:eastAsia="宋体" w:cs="Times New Roman"/>
                <w:kern w:val="0"/>
                <w:sz w:val="22"/>
                <w:szCs w:val="22"/>
                <w:vertAlign w:val="superscript"/>
                <w:lang w:bidi="ar"/>
              </w:rPr>
              <w:t>6</w:t>
            </w:r>
          </w:p>
        </w:tc>
        <w:tc>
          <w:tcPr>
            <w:tcW w:w="663" w:type="pct"/>
            <w:tcMar>
              <w:top w:w="120" w:type="dxa"/>
              <w:left w:w="120" w:type="dxa"/>
              <w:bottom w:w="120" w:type="dxa"/>
              <w:right w:w="120" w:type="dxa"/>
            </w:tcMar>
            <w:vAlign w:val="center"/>
          </w:tcPr>
          <w:p w14:paraId="3CF3DD2E">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721" w:type="pct"/>
            <w:tcMar>
              <w:top w:w="120" w:type="dxa"/>
              <w:left w:w="120" w:type="dxa"/>
              <w:bottom w:w="120" w:type="dxa"/>
              <w:right w:w="120" w:type="dxa"/>
            </w:tcMar>
            <w:vAlign w:val="center"/>
          </w:tcPr>
          <w:p w14:paraId="4A51DEB7">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887" w:type="pct"/>
            <w:tcMar>
              <w:top w:w="120" w:type="dxa"/>
              <w:left w:w="120" w:type="dxa"/>
              <w:bottom w:w="120" w:type="dxa"/>
              <w:right w:w="120" w:type="dxa"/>
            </w:tcMar>
            <w:vAlign w:val="center"/>
          </w:tcPr>
          <w:p w14:paraId="74547E77">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729" w:type="pct"/>
            <w:tcMar>
              <w:top w:w="120" w:type="dxa"/>
              <w:left w:w="120" w:type="dxa"/>
              <w:bottom w:w="120" w:type="dxa"/>
              <w:right w:w="120" w:type="dxa"/>
            </w:tcMar>
            <w:vAlign w:val="center"/>
          </w:tcPr>
          <w:p w14:paraId="25198147">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845" w:type="pct"/>
            <w:tcMar>
              <w:top w:w="120" w:type="dxa"/>
              <w:left w:w="120" w:type="dxa"/>
              <w:bottom w:w="120" w:type="dxa"/>
              <w:right w:w="120" w:type="dxa"/>
            </w:tcMar>
            <w:vAlign w:val="center"/>
          </w:tcPr>
          <w:p w14:paraId="747A86C4">
            <w:pPr>
              <w:spacing w:line="360" w:lineRule="auto"/>
              <w:rPr>
                <w:rFonts w:ascii="Times New Roman" w:hAnsi="Times New Roman" w:cs="Times New Roman"/>
                <w:sz w:val="22"/>
                <w:szCs w:val="22"/>
              </w:rPr>
            </w:pPr>
          </w:p>
        </w:tc>
      </w:tr>
      <w:tr w14:paraId="39B58A0D">
        <w:trPr>
          <w:jc w:val="center"/>
        </w:trPr>
        <w:tc>
          <w:tcPr>
            <w:tcW w:w="1155" w:type="pct"/>
            <w:tcMar>
              <w:top w:w="120" w:type="dxa"/>
              <w:left w:w="120" w:type="dxa"/>
              <w:bottom w:w="120" w:type="dxa"/>
              <w:right w:w="120" w:type="dxa"/>
            </w:tcMar>
            <w:vAlign w:val="center"/>
          </w:tcPr>
          <w:p w14:paraId="6664E89A">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Physical Examination</w:t>
            </w:r>
            <w:r>
              <w:rPr>
                <w:rFonts w:ascii="Times New Roman" w:hAnsi="Times New Roman" w:eastAsia="宋体" w:cs="Times New Roman"/>
                <w:kern w:val="0"/>
                <w:sz w:val="22"/>
                <w:szCs w:val="22"/>
                <w:vertAlign w:val="superscript"/>
                <w:lang w:bidi="ar"/>
              </w:rPr>
              <w:t>7</w:t>
            </w:r>
          </w:p>
        </w:tc>
        <w:tc>
          <w:tcPr>
            <w:tcW w:w="663" w:type="pct"/>
            <w:tcMar>
              <w:top w:w="120" w:type="dxa"/>
              <w:left w:w="120" w:type="dxa"/>
              <w:bottom w:w="120" w:type="dxa"/>
              <w:right w:w="120" w:type="dxa"/>
            </w:tcMar>
            <w:vAlign w:val="center"/>
          </w:tcPr>
          <w:p w14:paraId="76D41D2E">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721" w:type="pct"/>
            <w:tcMar>
              <w:top w:w="120" w:type="dxa"/>
              <w:left w:w="120" w:type="dxa"/>
              <w:bottom w:w="120" w:type="dxa"/>
              <w:right w:w="120" w:type="dxa"/>
            </w:tcMar>
            <w:vAlign w:val="center"/>
          </w:tcPr>
          <w:p w14:paraId="37DC0F97">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887" w:type="pct"/>
            <w:tcMar>
              <w:top w:w="120" w:type="dxa"/>
              <w:left w:w="120" w:type="dxa"/>
              <w:bottom w:w="120" w:type="dxa"/>
              <w:right w:w="120" w:type="dxa"/>
            </w:tcMar>
            <w:vAlign w:val="center"/>
          </w:tcPr>
          <w:p w14:paraId="3A53CB08">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729" w:type="pct"/>
            <w:tcMar>
              <w:top w:w="120" w:type="dxa"/>
              <w:left w:w="120" w:type="dxa"/>
              <w:bottom w:w="120" w:type="dxa"/>
              <w:right w:w="120" w:type="dxa"/>
            </w:tcMar>
            <w:vAlign w:val="center"/>
          </w:tcPr>
          <w:p w14:paraId="277AAE7C">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845" w:type="pct"/>
            <w:tcMar>
              <w:top w:w="120" w:type="dxa"/>
              <w:left w:w="120" w:type="dxa"/>
              <w:bottom w:w="120" w:type="dxa"/>
              <w:right w:w="120" w:type="dxa"/>
            </w:tcMar>
            <w:vAlign w:val="center"/>
          </w:tcPr>
          <w:p w14:paraId="1A30E7D6">
            <w:pPr>
              <w:spacing w:line="360" w:lineRule="auto"/>
              <w:rPr>
                <w:rFonts w:ascii="Times New Roman" w:hAnsi="Times New Roman" w:cs="Times New Roman"/>
                <w:sz w:val="22"/>
                <w:szCs w:val="22"/>
              </w:rPr>
            </w:pPr>
          </w:p>
        </w:tc>
      </w:tr>
      <w:tr w14:paraId="17CC82D1">
        <w:trPr>
          <w:jc w:val="center"/>
        </w:trPr>
        <w:tc>
          <w:tcPr>
            <w:tcW w:w="1155" w:type="pct"/>
            <w:tcMar>
              <w:top w:w="120" w:type="dxa"/>
              <w:left w:w="120" w:type="dxa"/>
              <w:bottom w:w="120" w:type="dxa"/>
              <w:right w:w="120" w:type="dxa"/>
            </w:tcMar>
            <w:vAlign w:val="center"/>
          </w:tcPr>
          <w:p w14:paraId="35DAA6FE">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ECOG P</w:t>
            </w:r>
            <w:r>
              <w:rPr>
                <w:rFonts w:hint="eastAsia" w:ascii="Times New Roman" w:hAnsi="Times New Roman" w:eastAsia="宋体" w:cs="Times New Roman"/>
                <w:kern w:val="0"/>
                <w:sz w:val="22"/>
                <w:szCs w:val="22"/>
                <w:lang w:bidi="ar"/>
              </w:rPr>
              <w:t>S</w:t>
            </w:r>
          </w:p>
        </w:tc>
        <w:tc>
          <w:tcPr>
            <w:tcW w:w="663" w:type="pct"/>
            <w:tcMar>
              <w:top w:w="120" w:type="dxa"/>
              <w:left w:w="120" w:type="dxa"/>
              <w:bottom w:w="120" w:type="dxa"/>
              <w:right w:w="120" w:type="dxa"/>
            </w:tcMar>
            <w:vAlign w:val="center"/>
          </w:tcPr>
          <w:p w14:paraId="5678B067">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721" w:type="pct"/>
            <w:tcMar>
              <w:top w:w="120" w:type="dxa"/>
              <w:left w:w="120" w:type="dxa"/>
              <w:bottom w:w="120" w:type="dxa"/>
              <w:right w:w="120" w:type="dxa"/>
            </w:tcMar>
            <w:vAlign w:val="center"/>
          </w:tcPr>
          <w:p w14:paraId="7A7137C1">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887" w:type="pct"/>
            <w:tcMar>
              <w:top w:w="120" w:type="dxa"/>
              <w:left w:w="120" w:type="dxa"/>
              <w:bottom w:w="120" w:type="dxa"/>
              <w:right w:w="120" w:type="dxa"/>
            </w:tcMar>
            <w:vAlign w:val="center"/>
          </w:tcPr>
          <w:p w14:paraId="2CDAFA81">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729" w:type="pct"/>
            <w:tcMar>
              <w:top w:w="120" w:type="dxa"/>
              <w:left w:w="120" w:type="dxa"/>
              <w:bottom w:w="120" w:type="dxa"/>
              <w:right w:w="120" w:type="dxa"/>
            </w:tcMar>
            <w:vAlign w:val="center"/>
          </w:tcPr>
          <w:p w14:paraId="029EEF5A">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845" w:type="pct"/>
            <w:tcMar>
              <w:top w:w="120" w:type="dxa"/>
              <w:left w:w="120" w:type="dxa"/>
              <w:bottom w:w="120" w:type="dxa"/>
              <w:right w:w="120" w:type="dxa"/>
            </w:tcMar>
            <w:vAlign w:val="center"/>
          </w:tcPr>
          <w:p w14:paraId="027E269F">
            <w:pPr>
              <w:spacing w:line="360" w:lineRule="auto"/>
              <w:rPr>
                <w:rFonts w:ascii="Times New Roman" w:hAnsi="Times New Roman" w:cs="Times New Roman"/>
                <w:sz w:val="22"/>
                <w:szCs w:val="22"/>
              </w:rPr>
            </w:pPr>
          </w:p>
        </w:tc>
      </w:tr>
      <w:tr w14:paraId="5E58CADC">
        <w:trPr>
          <w:jc w:val="center"/>
        </w:trPr>
        <w:tc>
          <w:tcPr>
            <w:tcW w:w="1155" w:type="pct"/>
            <w:tcMar>
              <w:top w:w="120" w:type="dxa"/>
              <w:left w:w="120" w:type="dxa"/>
              <w:bottom w:w="120" w:type="dxa"/>
              <w:right w:w="120" w:type="dxa"/>
            </w:tcMar>
            <w:vAlign w:val="center"/>
          </w:tcPr>
          <w:p w14:paraId="55D92195">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ECG</w:t>
            </w:r>
            <w:r>
              <w:rPr>
                <w:rFonts w:ascii="Times New Roman" w:hAnsi="Times New Roman" w:eastAsia="宋体" w:cs="Times New Roman"/>
                <w:kern w:val="0"/>
                <w:sz w:val="22"/>
                <w:szCs w:val="22"/>
                <w:vertAlign w:val="superscript"/>
                <w:lang w:bidi="ar"/>
              </w:rPr>
              <w:t>8</w:t>
            </w:r>
          </w:p>
        </w:tc>
        <w:tc>
          <w:tcPr>
            <w:tcW w:w="663" w:type="pct"/>
            <w:tcMar>
              <w:top w:w="120" w:type="dxa"/>
              <w:left w:w="120" w:type="dxa"/>
              <w:bottom w:w="120" w:type="dxa"/>
              <w:right w:w="120" w:type="dxa"/>
            </w:tcMar>
            <w:vAlign w:val="center"/>
          </w:tcPr>
          <w:p w14:paraId="356DA6D8">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3182" w:type="pct"/>
            <w:gridSpan w:val="4"/>
            <w:tcMar>
              <w:top w:w="120" w:type="dxa"/>
              <w:left w:w="120" w:type="dxa"/>
              <w:bottom w:w="120" w:type="dxa"/>
              <w:right w:w="120" w:type="dxa"/>
            </w:tcMar>
            <w:vAlign w:val="center"/>
          </w:tcPr>
          <w:p w14:paraId="0D1C6E28">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As clinically indicated</w:t>
            </w:r>
          </w:p>
        </w:tc>
      </w:tr>
      <w:tr w14:paraId="21B84C3A">
        <w:trPr>
          <w:jc w:val="center"/>
        </w:trPr>
        <w:tc>
          <w:tcPr>
            <w:tcW w:w="1155" w:type="pct"/>
            <w:tcMar>
              <w:top w:w="120" w:type="dxa"/>
              <w:left w:w="120" w:type="dxa"/>
              <w:bottom w:w="120" w:type="dxa"/>
              <w:right w:w="120" w:type="dxa"/>
            </w:tcMar>
            <w:vAlign w:val="center"/>
          </w:tcPr>
          <w:p w14:paraId="09F44013">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Echocardiogram</w:t>
            </w:r>
            <w:r>
              <w:rPr>
                <w:rFonts w:ascii="Times New Roman" w:hAnsi="Times New Roman" w:eastAsia="宋体" w:cs="Times New Roman"/>
                <w:kern w:val="0"/>
                <w:sz w:val="22"/>
                <w:szCs w:val="22"/>
                <w:vertAlign w:val="superscript"/>
                <w:lang w:bidi="ar"/>
              </w:rPr>
              <w:t>9</w:t>
            </w:r>
          </w:p>
        </w:tc>
        <w:tc>
          <w:tcPr>
            <w:tcW w:w="663" w:type="pct"/>
            <w:tcMar>
              <w:top w:w="120" w:type="dxa"/>
              <w:left w:w="120" w:type="dxa"/>
              <w:bottom w:w="120" w:type="dxa"/>
              <w:right w:w="120" w:type="dxa"/>
            </w:tcMar>
            <w:vAlign w:val="center"/>
          </w:tcPr>
          <w:p w14:paraId="69DCDA94">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3182" w:type="pct"/>
            <w:gridSpan w:val="4"/>
            <w:tcMar>
              <w:top w:w="120" w:type="dxa"/>
              <w:left w:w="120" w:type="dxa"/>
              <w:bottom w:w="120" w:type="dxa"/>
              <w:right w:w="120" w:type="dxa"/>
            </w:tcMar>
            <w:vAlign w:val="center"/>
          </w:tcPr>
          <w:p w14:paraId="40C6028D">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As clinically indicated</w:t>
            </w:r>
          </w:p>
        </w:tc>
      </w:tr>
      <w:tr w14:paraId="1B8A1D54">
        <w:trPr>
          <w:jc w:val="center"/>
        </w:trPr>
        <w:tc>
          <w:tcPr>
            <w:tcW w:w="1155" w:type="pct"/>
            <w:tcMar>
              <w:top w:w="120" w:type="dxa"/>
              <w:left w:w="120" w:type="dxa"/>
              <w:bottom w:w="120" w:type="dxa"/>
              <w:right w:w="120" w:type="dxa"/>
            </w:tcMar>
            <w:vAlign w:val="center"/>
          </w:tcPr>
          <w:p w14:paraId="7AA721DF">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Adverse Events</w:t>
            </w:r>
            <w:r>
              <w:rPr>
                <w:rFonts w:ascii="Times New Roman" w:hAnsi="Times New Roman" w:eastAsia="宋体" w:cs="Times New Roman"/>
                <w:kern w:val="0"/>
                <w:sz w:val="22"/>
                <w:szCs w:val="22"/>
                <w:vertAlign w:val="superscript"/>
                <w:lang w:bidi="ar"/>
              </w:rPr>
              <w:t>10</w:t>
            </w:r>
          </w:p>
        </w:tc>
        <w:tc>
          <w:tcPr>
            <w:tcW w:w="663" w:type="pct"/>
            <w:tcMar>
              <w:top w:w="120" w:type="dxa"/>
              <w:left w:w="120" w:type="dxa"/>
              <w:bottom w:w="120" w:type="dxa"/>
              <w:right w:w="120" w:type="dxa"/>
            </w:tcMar>
            <w:vAlign w:val="center"/>
          </w:tcPr>
          <w:p w14:paraId="26F24713">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721" w:type="pct"/>
            <w:tcMar>
              <w:top w:w="120" w:type="dxa"/>
              <w:left w:w="120" w:type="dxa"/>
              <w:bottom w:w="120" w:type="dxa"/>
              <w:right w:w="120" w:type="dxa"/>
            </w:tcMar>
            <w:vAlign w:val="center"/>
          </w:tcPr>
          <w:p w14:paraId="771EABCC">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887" w:type="pct"/>
            <w:tcMar>
              <w:top w:w="120" w:type="dxa"/>
              <w:left w:w="120" w:type="dxa"/>
              <w:bottom w:w="120" w:type="dxa"/>
              <w:right w:w="120" w:type="dxa"/>
            </w:tcMar>
            <w:vAlign w:val="center"/>
          </w:tcPr>
          <w:p w14:paraId="1CFE1039">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729" w:type="pct"/>
            <w:tcMar>
              <w:top w:w="120" w:type="dxa"/>
              <w:left w:w="120" w:type="dxa"/>
              <w:bottom w:w="120" w:type="dxa"/>
              <w:right w:w="120" w:type="dxa"/>
            </w:tcMar>
            <w:vAlign w:val="center"/>
          </w:tcPr>
          <w:p w14:paraId="4EA0DD0F">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845" w:type="pct"/>
            <w:tcMar>
              <w:top w:w="120" w:type="dxa"/>
              <w:left w:w="120" w:type="dxa"/>
              <w:bottom w:w="120" w:type="dxa"/>
              <w:right w:w="120" w:type="dxa"/>
            </w:tcMar>
            <w:vAlign w:val="center"/>
          </w:tcPr>
          <w:p w14:paraId="76FEA956">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r>
              <w:rPr>
                <w:rFonts w:ascii="Times New Roman" w:hAnsi="Times New Roman" w:eastAsia="宋体" w:cs="Times New Roman"/>
                <w:kern w:val="0"/>
                <w:sz w:val="22"/>
                <w:szCs w:val="22"/>
                <w:vertAlign w:val="superscript"/>
                <w:lang w:bidi="ar"/>
              </w:rPr>
              <w:t>11</w:t>
            </w:r>
          </w:p>
        </w:tc>
      </w:tr>
      <w:tr w14:paraId="315743D3">
        <w:trPr>
          <w:jc w:val="center"/>
        </w:trPr>
        <w:tc>
          <w:tcPr>
            <w:tcW w:w="1155" w:type="pct"/>
            <w:tcMar>
              <w:top w:w="120" w:type="dxa"/>
              <w:left w:w="120" w:type="dxa"/>
              <w:bottom w:w="120" w:type="dxa"/>
              <w:right w:w="120" w:type="dxa"/>
            </w:tcMar>
            <w:vAlign w:val="center"/>
          </w:tcPr>
          <w:p w14:paraId="5436765B">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Concomitant Medications</w:t>
            </w:r>
          </w:p>
        </w:tc>
        <w:tc>
          <w:tcPr>
            <w:tcW w:w="663" w:type="pct"/>
            <w:tcMar>
              <w:top w:w="120" w:type="dxa"/>
              <w:left w:w="120" w:type="dxa"/>
              <w:bottom w:w="120" w:type="dxa"/>
              <w:right w:w="120" w:type="dxa"/>
            </w:tcMar>
            <w:vAlign w:val="center"/>
          </w:tcPr>
          <w:p w14:paraId="0A2E9476">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721" w:type="pct"/>
            <w:tcMar>
              <w:top w:w="120" w:type="dxa"/>
              <w:left w:w="120" w:type="dxa"/>
              <w:bottom w:w="120" w:type="dxa"/>
              <w:right w:w="120" w:type="dxa"/>
            </w:tcMar>
            <w:vAlign w:val="center"/>
          </w:tcPr>
          <w:p w14:paraId="3A5A6874">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887" w:type="pct"/>
            <w:tcMar>
              <w:top w:w="120" w:type="dxa"/>
              <w:left w:w="120" w:type="dxa"/>
              <w:bottom w:w="120" w:type="dxa"/>
              <w:right w:w="120" w:type="dxa"/>
            </w:tcMar>
            <w:vAlign w:val="center"/>
          </w:tcPr>
          <w:p w14:paraId="6BC3E3B1">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729" w:type="pct"/>
            <w:tcMar>
              <w:top w:w="120" w:type="dxa"/>
              <w:left w:w="120" w:type="dxa"/>
              <w:bottom w:w="120" w:type="dxa"/>
              <w:right w:w="120" w:type="dxa"/>
            </w:tcMar>
            <w:vAlign w:val="center"/>
          </w:tcPr>
          <w:p w14:paraId="4DD79FAD">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845" w:type="pct"/>
            <w:tcMar>
              <w:top w:w="120" w:type="dxa"/>
              <w:left w:w="120" w:type="dxa"/>
              <w:bottom w:w="120" w:type="dxa"/>
              <w:right w:w="120" w:type="dxa"/>
            </w:tcMar>
            <w:vAlign w:val="center"/>
          </w:tcPr>
          <w:p w14:paraId="6A3B71A8">
            <w:pPr>
              <w:spacing w:line="360" w:lineRule="auto"/>
              <w:rPr>
                <w:rFonts w:ascii="Times New Roman" w:hAnsi="Times New Roman" w:cs="Times New Roman"/>
                <w:sz w:val="22"/>
                <w:szCs w:val="22"/>
              </w:rPr>
            </w:pPr>
          </w:p>
        </w:tc>
      </w:tr>
      <w:tr w14:paraId="07FE6287">
        <w:trPr>
          <w:jc w:val="center"/>
        </w:trPr>
        <w:tc>
          <w:tcPr>
            <w:tcW w:w="1155" w:type="pct"/>
            <w:tcMar>
              <w:top w:w="120" w:type="dxa"/>
              <w:left w:w="120" w:type="dxa"/>
              <w:bottom w:w="120" w:type="dxa"/>
              <w:right w:w="120" w:type="dxa"/>
            </w:tcMar>
            <w:vAlign w:val="center"/>
          </w:tcPr>
          <w:p w14:paraId="22F55C96">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Hematology</w:t>
            </w:r>
            <w:r>
              <w:rPr>
                <w:rFonts w:ascii="Times New Roman" w:hAnsi="Times New Roman" w:eastAsia="宋体" w:cs="Times New Roman"/>
                <w:kern w:val="0"/>
                <w:sz w:val="22"/>
                <w:szCs w:val="22"/>
                <w:vertAlign w:val="superscript"/>
                <w:lang w:bidi="ar"/>
              </w:rPr>
              <w:t>11</w:t>
            </w:r>
          </w:p>
        </w:tc>
        <w:tc>
          <w:tcPr>
            <w:tcW w:w="663" w:type="pct"/>
            <w:tcMar>
              <w:top w:w="120" w:type="dxa"/>
              <w:left w:w="120" w:type="dxa"/>
              <w:bottom w:w="120" w:type="dxa"/>
              <w:right w:w="120" w:type="dxa"/>
            </w:tcMar>
            <w:vAlign w:val="center"/>
          </w:tcPr>
          <w:p w14:paraId="1FC10000">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721" w:type="pct"/>
            <w:tcMar>
              <w:top w:w="120" w:type="dxa"/>
              <w:left w:w="120" w:type="dxa"/>
              <w:bottom w:w="120" w:type="dxa"/>
              <w:right w:w="120" w:type="dxa"/>
            </w:tcMar>
            <w:vAlign w:val="center"/>
          </w:tcPr>
          <w:p w14:paraId="32792226">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887" w:type="pct"/>
            <w:tcMar>
              <w:top w:w="120" w:type="dxa"/>
              <w:left w:w="120" w:type="dxa"/>
              <w:bottom w:w="120" w:type="dxa"/>
              <w:right w:w="120" w:type="dxa"/>
            </w:tcMar>
            <w:vAlign w:val="center"/>
          </w:tcPr>
          <w:p w14:paraId="55DAD807">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729" w:type="pct"/>
            <w:tcMar>
              <w:top w:w="120" w:type="dxa"/>
              <w:left w:w="120" w:type="dxa"/>
              <w:bottom w:w="120" w:type="dxa"/>
              <w:right w:w="120" w:type="dxa"/>
            </w:tcMar>
            <w:vAlign w:val="center"/>
          </w:tcPr>
          <w:p w14:paraId="3E86AFF0">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845" w:type="pct"/>
            <w:tcMar>
              <w:top w:w="120" w:type="dxa"/>
              <w:left w:w="120" w:type="dxa"/>
              <w:bottom w:w="120" w:type="dxa"/>
              <w:right w:w="120" w:type="dxa"/>
            </w:tcMar>
            <w:vAlign w:val="center"/>
          </w:tcPr>
          <w:p w14:paraId="683BDECA">
            <w:pPr>
              <w:spacing w:line="360" w:lineRule="auto"/>
              <w:rPr>
                <w:rFonts w:ascii="Times New Roman" w:hAnsi="Times New Roman" w:cs="Times New Roman"/>
                <w:sz w:val="22"/>
                <w:szCs w:val="22"/>
              </w:rPr>
            </w:pPr>
          </w:p>
        </w:tc>
      </w:tr>
      <w:tr w14:paraId="006D618E">
        <w:trPr>
          <w:jc w:val="center"/>
        </w:trPr>
        <w:tc>
          <w:tcPr>
            <w:tcW w:w="1155" w:type="pct"/>
            <w:tcMar>
              <w:top w:w="120" w:type="dxa"/>
              <w:left w:w="120" w:type="dxa"/>
              <w:bottom w:w="120" w:type="dxa"/>
              <w:right w:w="120" w:type="dxa"/>
            </w:tcMar>
            <w:vAlign w:val="center"/>
          </w:tcPr>
          <w:p w14:paraId="62A7ED9C">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Serum Chemistry</w:t>
            </w:r>
            <w:r>
              <w:rPr>
                <w:rFonts w:ascii="Times New Roman" w:hAnsi="Times New Roman" w:eastAsia="宋体" w:cs="Times New Roman"/>
                <w:kern w:val="0"/>
                <w:sz w:val="22"/>
                <w:szCs w:val="22"/>
                <w:vertAlign w:val="superscript"/>
                <w:lang w:bidi="ar"/>
              </w:rPr>
              <w:t>11</w:t>
            </w:r>
          </w:p>
        </w:tc>
        <w:tc>
          <w:tcPr>
            <w:tcW w:w="663" w:type="pct"/>
            <w:tcMar>
              <w:top w:w="120" w:type="dxa"/>
              <w:left w:w="120" w:type="dxa"/>
              <w:bottom w:w="120" w:type="dxa"/>
              <w:right w:w="120" w:type="dxa"/>
            </w:tcMar>
            <w:vAlign w:val="center"/>
          </w:tcPr>
          <w:p w14:paraId="53A87B9D">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721" w:type="pct"/>
            <w:tcMar>
              <w:top w:w="120" w:type="dxa"/>
              <w:left w:w="120" w:type="dxa"/>
              <w:bottom w:w="120" w:type="dxa"/>
              <w:right w:w="120" w:type="dxa"/>
            </w:tcMar>
            <w:vAlign w:val="center"/>
          </w:tcPr>
          <w:p w14:paraId="13E1278E">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887" w:type="pct"/>
            <w:tcMar>
              <w:top w:w="120" w:type="dxa"/>
              <w:left w:w="120" w:type="dxa"/>
              <w:bottom w:w="120" w:type="dxa"/>
              <w:right w:w="120" w:type="dxa"/>
            </w:tcMar>
            <w:vAlign w:val="center"/>
          </w:tcPr>
          <w:p w14:paraId="1ECCCE02">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729" w:type="pct"/>
            <w:tcMar>
              <w:top w:w="120" w:type="dxa"/>
              <w:left w:w="120" w:type="dxa"/>
              <w:bottom w:w="120" w:type="dxa"/>
              <w:right w:w="120" w:type="dxa"/>
            </w:tcMar>
            <w:vAlign w:val="center"/>
          </w:tcPr>
          <w:p w14:paraId="4915C0C4">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845" w:type="pct"/>
            <w:tcMar>
              <w:top w:w="120" w:type="dxa"/>
              <w:left w:w="120" w:type="dxa"/>
              <w:bottom w:w="120" w:type="dxa"/>
              <w:right w:w="120" w:type="dxa"/>
            </w:tcMar>
            <w:vAlign w:val="center"/>
          </w:tcPr>
          <w:p w14:paraId="454D816D">
            <w:pPr>
              <w:spacing w:line="360" w:lineRule="auto"/>
              <w:rPr>
                <w:rFonts w:ascii="Times New Roman" w:hAnsi="Times New Roman" w:cs="Times New Roman"/>
                <w:sz w:val="22"/>
                <w:szCs w:val="22"/>
              </w:rPr>
            </w:pPr>
          </w:p>
        </w:tc>
      </w:tr>
      <w:tr w14:paraId="01DCF5F5">
        <w:trPr>
          <w:jc w:val="center"/>
        </w:trPr>
        <w:tc>
          <w:tcPr>
            <w:tcW w:w="1155" w:type="pct"/>
            <w:tcMar>
              <w:top w:w="120" w:type="dxa"/>
              <w:left w:w="120" w:type="dxa"/>
              <w:bottom w:w="120" w:type="dxa"/>
              <w:right w:w="120" w:type="dxa"/>
            </w:tcMar>
            <w:vAlign w:val="center"/>
          </w:tcPr>
          <w:p w14:paraId="09A6091A">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Coagulation</w:t>
            </w:r>
            <w:r>
              <w:rPr>
                <w:rFonts w:ascii="Times New Roman" w:hAnsi="Times New Roman" w:eastAsia="宋体" w:cs="Times New Roman"/>
                <w:kern w:val="0"/>
                <w:sz w:val="22"/>
                <w:szCs w:val="22"/>
                <w:vertAlign w:val="superscript"/>
                <w:lang w:bidi="ar"/>
              </w:rPr>
              <w:t>11</w:t>
            </w:r>
          </w:p>
        </w:tc>
        <w:tc>
          <w:tcPr>
            <w:tcW w:w="663" w:type="pct"/>
            <w:tcMar>
              <w:top w:w="120" w:type="dxa"/>
              <w:left w:w="120" w:type="dxa"/>
              <w:bottom w:w="120" w:type="dxa"/>
              <w:right w:w="120" w:type="dxa"/>
            </w:tcMar>
            <w:vAlign w:val="center"/>
          </w:tcPr>
          <w:p w14:paraId="31FF5AAE">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721" w:type="pct"/>
            <w:tcMar>
              <w:top w:w="120" w:type="dxa"/>
              <w:left w:w="120" w:type="dxa"/>
              <w:bottom w:w="120" w:type="dxa"/>
              <w:right w:w="120" w:type="dxa"/>
            </w:tcMar>
            <w:vAlign w:val="center"/>
          </w:tcPr>
          <w:p w14:paraId="734C09E8">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887" w:type="pct"/>
            <w:tcMar>
              <w:top w:w="120" w:type="dxa"/>
              <w:left w:w="120" w:type="dxa"/>
              <w:bottom w:w="120" w:type="dxa"/>
              <w:right w:w="120" w:type="dxa"/>
            </w:tcMar>
            <w:vAlign w:val="center"/>
          </w:tcPr>
          <w:p w14:paraId="251CA562">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729" w:type="pct"/>
            <w:tcMar>
              <w:top w:w="120" w:type="dxa"/>
              <w:left w:w="120" w:type="dxa"/>
              <w:bottom w:w="120" w:type="dxa"/>
              <w:right w:w="120" w:type="dxa"/>
            </w:tcMar>
            <w:vAlign w:val="center"/>
          </w:tcPr>
          <w:p w14:paraId="5FAA159A">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845" w:type="pct"/>
            <w:tcMar>
              <w:top w:w="120" w:type="dxa"/>
              <w:left w:w="120" w:type="dxa"/>
              <w:bottom w:w="120" w:type="dxa"/>
              <w:right w:w="120" w:type="dxa"/>
            </w:tcMar>
            <w:vAlign w:val="center"/>
          </w:tcPr>
          <w:p w14:paraId="669E29DD">
            <w:pPr>
              <w:spacing w:line="360" w:lineRule="auto"/>
              <w:rPr>
                <w:rFonts w:ascii="Times New Roman" w:hAnsi="Times New Roman" w:cs="Times New Roman"/>
                <w:sz w:val="22"/>
                <w:szCs w:val="22"/>
              </w:rPr>
            </w:pPr>
          </w:p>
        </w:tc>
      </w:tr>
      <w:tr w14:paraId="4D73FDD1">
        <w:trPr>
          <w:jc w:val="center"/>
        </w:trPr>
        <w:tc>
          <w:tcPr>
            <w:tcW w:w="1155" w:type="pct"/>
            <w:tcMar>
              <w:top w:w="120" w:type="dxa"/>
              <w:left w:w="120" w:type="dxa"/>
              <w:bottom w:w="120" w:type="dxa"/>
              <w:right w:w="120" w:type="dxa"/>
            </w:tcMar>
            <w:vAlign w:val="center"/>
          </w:tcPr>
          <w:p w14:paraId="4E819642">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Urinalysis</w:t>
            </w:r>
            <w:r>
              <w:rPr>
                <w:rFonts w:ascii="Times New Roman" w:hAnsi="Times New Roman" w:eastAsia="宋体" w:cs="Times New Roman"/>
                <w:kern w:val="0"/>
                <w:sz w:val="22"/>
                <w:szCs w:val="22"/>
                <w:vertAlign w:val="superscript"/>
                <w:lang w:bidi="ar"/>
              </w:rPr>
              <w:t>11</w:t>
            </w:r>
          </w:p>
        </w:tc>
        <w:tc>
          <w:tcPr>
            <w:tcW w:w="663" w:type="pct"/>
            <w:tcMar>
              <w:top w:w="120" w:type="dxa"/>
              <w:left w:w="120" w:type="dxa"/>
              <w:bottom w:w="120" w:type="dxa"/>
              <w:right w:w="120" w:type="dxa"/>
            </w:tcMar>
            <w:vAlign w:val="center"/>
          </w:tcPr>
          <w:p w14:paraId="2174761C">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721" w:type="pct"/>
            <w:tcMar>
              <w:top w:w="120" w:type="dxa"/>
              <w:left w:w="120" w:type="dxa"/>
              <w:bottom w:w="120" w:type="dxa"/>
              <w:right w:w="120" w:type="dxa"/>
            </w:tcMar>
            <w:vAlign w:val="center"/>
          </w:tcPr>
          <w:p w14:paraId="611E27ED">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887" w:type="pct"/>
            <w:tcMar>
              <w:top w:w="120" w:type="dxa"/>
              <w:left w:w="120" w:type="dxa"/>
              <w:bottom w:w="120" w:type="dxa"/>
              <w:right w:w="120" w:type="dxa"/>
            </w:tcMar>
            <w:vAlign w:val="center"/>
          </w:tcPr>
          <w:p w14:paraId="4E8FBAB8">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729" w:type="pct"/>
            <w:tcMar>
              <w:top w:w="120" w:type="dxa"/>
              <w:left w:w="120" w:type="dxa"/>
              <w:bottom w:w="120" w:type="dxa"/>
              <w:right w:w="120" w:type="dxa"/>
            </w:tcMar>
            <w:vAlign w:val="center"/>
          </w:tcPr>
          <w:p w14:paraId="5A0BC082">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845" w:type="pct"/>
            <w:tcMar>
              <w:top w:w="120" w:type="dxa"/>
              <w:left w:w="120" w:type="dxa"/>
              <w:bottom w:w="120" w:type="dxa"/>
              <w:right w:w="120" w:type="dxa"/>
            </w:tcMar>
            <w:vAlign w:val="center"/>
          </w:tcPr>
          <w:p w14:paraId="213E572C">
            <w:pPr>
              <w:spacing w:line="360" w:lineRule="auto"/>
              <w:rPr>
                <w:rFonts w:ascii="Times New Roman" w:hAnsi="Times New Roman" w:cs="Times New Roman"/>
                <w:sz w:val="22"/>
                <w:szCs w:val="22"/>
              </w:rPr>
            </w:pPr>
          </w:p>
        </w:tc>
      </w:tr>
      <w:tr w14:paraId="25B95BE8">
        <w:trPr>
          <w:jc w:val="center"/>
        </w:trPr>
        <w:tc>
          <w:tcPr>
            <w:tcW w:w="1155" w:type="pct"/>
            <w:tcMar>
              <w:top w:w="120" w:type="dxa"/>
              <w:left w:w="120" w:type="dxa"/>
              <w:bottom w:w="120" w:type="dxa"/>
              <w:right w:w="120" w:type="dxa"/>
            </w:tcMar>
            <w:vAlign w:val="center"/>
          </w:tcPr>
          <w:p w14:paraId="013E2579">
            <w:pPr>
              <w:widowControl/>
              <w:spacing w:after="180" w:line="360" w:lineRule="auto"/>
              <w:ind w:firstLineChars="200"/>
              <w:jc w:val="center"/>
              <w:rPr>
                <w:rFonts w:ascii="Times New Roman" w:hAnsi="Times New Roman" w:eastAsia="宋体" w:cs="Times New Roman"/>
                <w:kern w:val="0"/>
                <w:sz w:val="22"/>
                <w:szCs w:val="22"/>
                <w:lang w:bidi="ar"/>
              </w:rPr>
            </w:pPr>
            <w:r>
              <w:rPr>
                <w:rFonts w:ascii="Times New Roman" w:hAnsi="Times New Roman" w:eastAsia="宋体" w:cs="Times New Roman"/>
                <w:kern w:val="0"/>
                <w:sz w:val="22"/>
                <w:szCs w:val="22"/>
                <w:lang w:bidi="ar"/>
              </w:rPr>
              <w:t xml:space="preserve">Total CK and </w:t>
            </w:r>
          </w:p>
          <w:p w14:paraId="0866C70E">
            <w:pPr>
              <w:widowControl/>
              <w:spacing w:after="180" w:line="360" w:lineRule="auto"/>
              <w:ind w:firstLineChars="200"/>
              <w:jc w:val="center"/>
              <w:rPr>
                <w:rFonts w:ascii="Times New Roman" w:hAnsi="Times New Roman" w:cs="Times New Roman"/>
                <w:sz w:val="22"/>
                <w:szCs w:val="22"/>
              </w:rPr>
            </w:pPr>
            <w:r>
              <w:rPr>
                <w:rFonts w:ascii="Times New Roman" w:hAnsi="Times New Roman" w:eastAsia="宋体" w:cs="Times New Roman"/>
                <w:kern w:val="0"/>
                <w:sz w:val="22"/>
                <w:szCs w:val="22"/>
                <w:lang w:bidi="ar"/>
              </w:rPr>
              <w:t>CK-MB</w:t>
            </w:r>
            <w:r>
              <w:rPr>
                <w:rFonts w:ascii="Times New Roman" w:hAnsi="Times New Roman" w:eastAsia="宋体" w:cs="Times New Roman"/>
                <w:kern w:val="0"/>
                <w:sz w:val="22"/>
                <w:szCs w:val="22"/>
                <w:vertAlign w:val="superscript"/>
                <w:lang w:bidi="ar"/>
              </w:rPr>
              <w:t>11</w:t>
            </w:r>
          </w:p>
        </w:tc>
        <w:tc>
          <w:tcPr>
            <w:tcW w:w="663" w:type="pct"/>
            <w:tcMar>
              <w:top w:w="120" w:type="dxa"/>
              <w:left w:w="120" w:type="dxa"/>
              <w:bottom w:w="120" w:type="dxa"/>
              <w:right w:w="120" w:type="dxa"/>
            </w:tcMar>
            <w:vAlign w:val="center"/>
          </w:tcPr>
          <w:p w14:paraId="6DD78D99">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3182" w:type="pct"/>
            <w:gridSpan w:val="4"/>
            <w:tcMar>
              <w:top w:w="120" w:type="dxa"/>
              <w:left w:w="120" w:type="dxa"/>
              <w:bottom w:w="120" w:type="dxa"/>
              <w:right w:w="120" w:type="dxa"/>
            </w:tcMar>
            <w:vAlign w:val="center"/>
          </w:tcPr>
          <w:p w14:paraId="67F95D8D">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As clinically indicated</w:t>
            </w:r>
          </w:p>
        </w:tc>
      </w:tr>
      <w:tr w14:paraId="06AD928A">
        <w:trPr>
          <w:jc w:val="center"/>
        </w:trPr>
        <w:tc>
          <w:tcPr>
            <w:tcW w:w="1155" w:type="pct"/>
            <w:tcMar>
              <w:top w:w="120" w:type="dxa"/>
              <w:left w:w="120" w:type="dxa"/>
              <w:bottom w:w="120" w:type="dxa"/>
              <w:right w:w="120" w:type="dxa"/>
            </w:tcMar>
            <w:vAlign w:val="center"/>
          </w:tcPr>
          <w:p w14:paraId="423421AB">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Pregnancy Test</w:t>
            </w:r>
            <w:r>
              <w:rPr>
                <w:rFonts w:ascii="Times New Roman" w:hAnsi="Times New Roman" w:eastAsia="宋体" w:cs="Times New Roman"/>
                <w:kern w:val="0"/>
                <w:sz w:val="22"/>
                <w:szCs w:val="22"/>
                <w:vertAlign w:val="superscript"/>
                <w:lang w:bidi="ar"/>
              </w:rPr>
              <w:t>12</w:t>
            </w:r>
          </w:p>
        </w:tc>
        <w:tc>
          <w:tcPr>
            <w:tcW w:w="663" w:type="pct"/>
            <w:tcMar>
              <w:top w:w="120" w:type="dxa"/>
              <w:left w:w="120" w:type="dxa"/>
              <w:bottom w:w="120" w:type="dxa"/>
              <w:right w:w="120" w:type="dxa"/>
            </w:tcMar>
            <w:vAlign w:val="center"/>
          </w:tcPr>
          <w:p w14:paraId="2F7F9846">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3182" w:type="pct"/>
            <w:gridSpan w:val="4"/>
            <w:tcMar>
              <w:top w:w="120" w:type="dxa"/>
              <w:left w:w="120" w:type="dxa"/>
              <w:bottom w:w="120" w:type="dxa"/>
              <w:right w:w="120" w:type="dxa"/>
            </w:tcMar>
            <w:vAlign w:val="center"/>
          </w:tcPr>
          <w:p w14:paraId="365C40EB">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As clinically indicated</w:t>
            </w:r>
          </w:p>
        </w:tc>
      </w:tr>
      <w:tr w14:paraId="436EC742">
        <w:trPr>
          <w:jc w:val="center"/>
        </w:trPr>
        <w:tc>
          <w:tcPr>
            <w:tcW w:w="1155" w:type="pct"/>
            <w:tcMar>
              <w:top w:w="120" w:type="dxa"/>
              <w:left w:w="120" w:type="dxa"/>
              <w:bottom w:w="120" w:type="dxa"/>
              <w:right w:w="120" w:type="dxa"/>
            </w:tcMar>
            <w:vAlign w:val="center"/>
          </w:tcPr>
          <w:p w14:paraId="527DA2F6">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Thyroid Function</w:t>
            </w:r>
            <w:r>
              <w:rPr>
                <w:rFonts w:ascii="Times New Roman" w:hAnsi="Times New Roman" w:eastAsia="宋体" w:cs="Times New Roman"/>
                <w:kern w:val="0"/>
                <w:sz w:val="22"/>
                <w:szCs w:val="22"/>
                <w:vertAlign w:val="superscript"/>
                <w:lang w:bidi="ar"/>
              </w:rPr>
              <w:t>13</w:t>
            </w:r>
          </w:p>
        </w:tc>
        <w:tc>
          <w:tcPr>
            <w:tcW w:w="663" w:type="pct"/>
            <w:tcMar>
              <w:top w:w="120" w:type="dxa"/>
              <w:left w:w="120" w:type="dxa"/>
              <w:bottom w:w="120" w:type="dxa"/>
              <w:right w:w="120" w:type="dxa"/>
            </w:tcMar>
            <w:vAlign w:val="center"/>
          </w:tcPr>
          <w:p w14:paraId="0BA9680C">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3182" w:type="pct"/>
            <w:gridSpan w:val="4"/>
            <w:tcMar>
              <w:top w:w="120" w:type="dxa"/>
              <w:left w:w="120" w:type="dxa"/>
              <w:bottom w:w="120" w:type="dxa"/>
              <w:right w:w="120" w:type="dxa"/>
            </w:tcMar>
            <w:vAlign w:val="center"/>
          </w:tcPr>
          <w:p w14:paraId="5B129C1C">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As clinically indicated</w:t>
            </w:r>
          </w:p>
        </w:tc>
      </w:tr>
      <w:tr w14:paraId="47D3B922">
        <w:trPr>
          <w:jc w:val="center"/>
        </w:trPr>
        <w:tc>
          <w:tcPr>
            <w:tcW w:w="1155" w:type="pct"/>
            <w:tcMar>
              <w:top w:w="120" w:type="dxa"/>
              <w:left w:w="120" w:type="dxa"/>
              <w:bottom w:w="120" w:type="dxa"/>
              <w:right w:w="120" w:type="dxa"/>
            </w:tcMar>
            <w:vAlign w:val="center"/>
          </w:tcPr>
          <w:p w14:paraId="6CDF6896">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HBV/HCV Testing</w:t>
            </w:r>
            <w:r>
              <w:rPr>
                <w:rFonts w:ascii="Times New Roman" w:hAnsi="Times New Roman" w:eastAsia="宋体" w:cs="Times New Roman"/>
                <w:kern w:val="0"/>
                <w:sz w:val="22"/>
                <w:szCs w:val="22"/>
                <w:vertAlign w:val="superscript"/>
                <w:lang w:bidi="ar"/>
              </w:rPr>
              <w:t>14</w:t>
            </w:r>
          </w:p>
        </w:tc>
        <w:tc>
          <w:tcPr>
            <w:tcW w:w="663" w:type="pct"/>
            <w:tcMar>
              <w:top w:w="120" w:type="dxa"/>
              <w:left w:w="120" w:type="dxa"/>
              <w:bottom w:w="120" w:type="dxa"/>
              <w:right w:w="120" w:type="dxa"/>
            </w:tcMar>
            <w:vAlign w:val="center"/>
          </w:tcPr>
          <w:p w14:paraId="03D5433E">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3182" w:type="pct"/>
            <w:gridSpan w:val="4"/>
            <w:tcMar>
              <w:top w:w="120" w:type="dxa"/>
              <w:left w:w="120" w:type="dxa"/>
              <w:bottom w:w="120" w:type="dxa"/>
              <w:right w:w="120" w:type="dxa"/>
            </w:tcMar>
            <w:vAlign w:val="center"/>
          </w:tcPr>
          <w:p w14:paraId="3355E991">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As clinically indicated</w:t>
            </w:r>
          </w:p>
        </w:tc>
      </w:tr>
      <w:tr w14:paraId="4DD27E2E">
        <w:trPr>
          <w:jc w:val="center"/>
        </w:trPr>
        <w:tc>
          <w:tcPr>
            <w:tcW w:w="1155" w:type="pct"/>
            <w:tcMar>
              <w:top w:w="120" w:type="dxa"/>
              <w:left w:w="120" w:type="dxa"/>
              <w:bottom w:w="120" w:type="dxa"/>
              <w:right w:w="120" w:type="dxa"/>
            </w:tcMar>
            <w:vAlign w:val="center"/>
          </w:tcPr>
          <w:p w14:paraId="3EDD98A4">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Pulmonary Function Tests</w:t>
            </w:r>
            <w:r>
              <w:rPr>
                <w:rFonts w:ascii="Times New Roman" w:hAnsi="Times New Roman" w:eastAsia="宋体" w:cs="Times New Roman"/>
                <w:kern w:val="0"/>
                <w:sz w:val="22"/>
                <w:szCs w:val="22"/>
                <w:vertAlign w:val="superscript"/>
                <w:lang w:bidi="ar"/>
              </w:rPr>
              <w:t>15</w:t>
            </w:r>
          </w:p>
        </w:tc>
        <w:tc>
          <w:tcPr>
            <w:tcW w:w="3845" w:type="pct"/>
            <w:gridSpan w:val="5"/>
            <w:tcMar>
              <w:top w:w="120" w:type="dxa"/>
              <w:left w:w="120" w:type="dxa"/>
              <w:bottom w:w="120" w:type="dxa"/>
              <w:right w:w="120" w:type="dxa"/>
            </w:tcMar>
            <w:vAlign w:val="center"/>
          </w:tcPr>
          <w:p w14:paraId="723D211A">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As clinically indicated</w:t>
            </w:r>
          </w:p>
        </w:tc>
      </w:tr>
      <w:tr w14:paraId="3DBA0C05">
        <w:trPr>
          <w:jc w:val="center"/>
        </w:trPr>
        <w:tc>
          <w:tcPr>
            <w:tcW w:w="1155" w:type="pct"/>
            <w:tcMar>
              <w:top w:w="120" w:type="dxa"/>
              <w:left w:w="120" w:type="dxa"/>
              <w:bottom w:w="120" w:type="dxa"/>
              <w:right w:w="120" w:type="dxa"/>
            </w:tcMar>
            <w:vAlign w:val="center"/>
          </w:tcPr>
          <w:p w14:paraId="5697BBE9">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Tumor Assessment</w:t>
            </w:r>
            <w:r>
              <w:rPr>
                <w:rFonts w:ascii="Times New Roman" w:hAnsi="Times New Roman" w:eastAsia="宋体" w:cs="Times New Roman"/>
                <w:kern w:val="0"/>
                <w:sz w:val="22"/>
                <w:szCs w:val="22"/>
                <w:vertAlign w:val="superscript"/>
                <w:lang w:bidi="ar"/>
              </w:rPr>
              <w:t>16</w:t>
            </w:r>
          </w:p>
        </w:tc>
        <w:tc>
          <w:tcPr>
            <w:tcW w:w="663" w:type="pct"/>
            <w:tcMar>
              <w:top w:w="120" w:type="dxa"/>
              <w:left w:w="120" w:type="dxa"/>
              <w:bottom w:w="120" w:type="dxa"/>
              <w:right w:w="120" w:type="dxa"/>
            </w:tcMar>
            <w:vAlign w:val="center"/>
          </w:tcPr>
          <w:p w14:paraId="18296133">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3182" w:type="pct"/>
            <w:gridSpan w:val="4"/>
            <w:tcMar>
              <w:top w:w="120" w:type="dxa"/>
              <w:left w:w="120" w:type="dxa"/>
              <w:bottom w:w="120" w:type="dxa"/>
              <w:right w:w="120" w:type="dxa"/>
            </w:tcMar>
            <w:vAlign w:val="center"/>
          </w:tcPr>
          <w:p w14:paraId="39B37FAC">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Every 9 weeks (±7 days) for the first 54 weeks, then every 12 weeks (±7 days) from weeks 54-108, and every 6 months (±7 days) after week 108 until progression</w:t>
            </w:r>
          </w:p>
        </w:tc>
      </w:tr>
      <w:tr w14:paraId="1BC70D5B">
        <w:trPr>
          <w:jc w:val="center"/>
        </w:trPr>
        <w:tc>
          <w:tcPr>
            <w:tcW w:w="1155" w:type="pct"/>
            <w:tcMar>
              <w:top w:w="120" w:type="dxa"/>
              <w:left w:w="120" w:type="dxa"/>
              <w:bottom w:w="120" w:type="dxa"/>
              <w:right w:w="120" w:type="dxa"/>
            </w:tcMar>
            <w:vAlign w:val="center"/>
          </w:tcPr>
          <w:p w14:paraId="3BC43CA3">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Blood/Tissue Sample Collection</w:t>
            </w:r>
            <w:r>
              <w:rPr>
                <w:rFonts w:ascii="Times New Roman" w:hAnsi="Times New Roman" w:eastAsia="宋体" w:cs="Times New Roman"/>
                <w:kern w:val="0"/>
                <w:sz w:val="22"/>
                <w:szCs w:val="22"/>
                <w:vertAlign w:val="superscript"/>
                <w:lang w:bidi="ar"/>
              </w:rPr>
              <w:t>17</w:t>
            </w:r>
          </w:p>
        </w:tc>
        <w:tc>
          <w:tcPr>
            <w:tcW w:w="663" w:type="pct"/>
            <w:tcMar>
              <w:top w:w="120" w:type="dxa"/>
              <w:left w:w="120" w:type="dxa"/>
              <w:bottom w:w="120" w:type="dxa"/>
              <w:right w:w="120" w:type="dxa"/>
            </w:tcMar>
            <w:vAlign w:val="center"/>
          </w:tcPr>
          <w:p w14:paraId="6860A40A">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721" w:type="pct"/>
            <w:tcMar>
              <w:top w:w="120" w:type="dxa"/>
              <w:left w:w="120" w:type="dxa"/>
              <w:bottom w:w="120" w:type="dxa"/>
              <w:right w:w="120" w:type="dxa"/>
            </w:tcMar>
            <w:vAlign w:val="center"/>
          </w:tcPr>
          <w:p w14:paraId="7A4BD78A">
            <w:pPr>
              <w:spacing w:line="360" w:lineRule="auto"/>
              <w:rPr>
                <w:rFonts w:ascii="Times New Roman" w:hAnsi="Times New Roman" w:cs="Times New Roman"/>
                <w:sz w:val="22"/>
                <w:szCs w:val="22"/>
              </w:rPr>
            </w:pPr>
          </w:p>
        </w:tc>
        <w:tc>
          <w:tcPr>
            <w:tcW w:w="887" w:type="pct"/>
            <w:tcMar>
              <w:top w:w="120" w:type="dxa"/>
              <w:left w:w="120" w:type="dxa"/>
              <w:bottom w:w="120" w:type="dxa"/>
              <w:right w:w="120" w:type="dxa"/>
            </w:tcMar>
            <w:vAlign w:val="center"/>
          </w:tcPr>
          <w:p w14:paraId="23137973">
            <w:pPr>
              <w:spacing w:line="360" w:lineRule="auto"/>
              <w:rPr>
                <w:rFonts w:ascii="Times New Roman" w:hAnsi="Times New Roman" w:cs="Times New Roman"/>
                <w:sz w:val="22"/>
                <w:szCs w:val="22"/>
              </w:rPr>
            </w:pPr>
          </w:p>
        </w:tc>
        <w:tc>
          <w:tcPr>
            <w:tcW w:w="729" w:type="pct"/>
            <w:tcMar>
              <w:top w:w="120" w:type="dxa"/>
              <w:left w:w="120" w:type="dxa"/>
              <w:bottom w:w="120" w:type="dxa"/>
              <w:right w:w="120" w:type="dxa"/>
            </w:tcMar>
            <w:vAlign w:val="center"/>
          </w:tcPr>
          <w:p w14:paraId="64875360">
            <w:pPr>
              <w:spacing w:line="360" w:lineRule="auto"/>
              <w:rPr>
                <w:rFonts w:ascii="Times New Roman" w:hAnsi="Times New Roman" w:cs="Times New Roman"/>
                <w:sz w:val="22"/>
                <w:szCs w:val="22"/>
              </w:rPr>
            </w:pPr>
          </w:p>
        </w:tc>
        <w:tc>
          <w:tcPr>
            <w:tcW w:w="845" w:type="pct"/>
            <w:tcMar>
              <w:top w:w="120" w:type="dxa"/>
              <w:left w:w="120" w:type="dxa"/>
              <w:bottom w:w="120" w:type="dxa"/>
              <w:right w:w="120" w:type="dxa"/>
            </w:tcMar>
            <w:vAlign w:val="center"/>
          </w:tcPr>
          <w:p w14:paraId="24A0DCC5">
            <w:pPr>
              <w:spacing w:line="360" w:lineRule="auto"/>
              <w:rPr>
                <w:rFonts w:ascii="Times New Roman" w:hAnsi="Times New Roman" w:cs="Times New Roman"/>
                <w:sz w:val="22"/>
                <w:szCs w:val="22"/>
              </w:rPr>
            </w:pPr>
          </w:p>
        </w:tc>
      </w:tr>
      <w:tr w14:paraId="53C221AA">
        <w:trPr>
          <w:jc w:val="center"/>
        </w:trPr>
        <w:tc>
          <w:tcPr>
            <w:tcW w:w="1155" w:type="pct"/>
            <w:tcMar>
              <w:top w:w="120" w:type="dxa"/>
              <w:left w:w="120" w:type="dxa"/>
              <w:bottom w:w="120" w:type="dxa"/>
              <w:right w:w="120" w:type="dxa"/>
            </w:tcMar>
            <w:vAlign w:val="center"/>
          </w:tcPr>
          <w:p w14:paraId="00CDEB14">
            <w:pPr>
              <w:widowControl/>
              <w:spacing w:after="180" w:line="360" w:lineRule="auto"/>
              <w:jc w:val="center"/>
              <w:rPr>
                <w:rFonts w:ascii="Times New Roman" w:hAnsi="Times New Roman" w:cs="Times New Roman"/>
                <w:sz w:val="22"/>
                <w:szCs w:val="22"/>
              </w:rPr>
            </w:pPr>
            <w:r>
              <w:rPr>
                <w:rFonts w:hint="eastAsia" w:ascii="Times New Roman" w:hAnsi="Times New Roman" w:eastAsia="宋体" w:cs="Times New Roman"/>
                <w:kern w:val="0"/>
                <w:sz w:val="22"/>
                <w:szCs w:val="22"/>
                <w:lang w:bidi="ar"/>
              </w:rPr>
              <w:t>C</w:t>
            </w:r>
            <w:r>
              <w:rPr>
                <w:rFonts w:ascii="Times New Roman" w:hAnsi="Times New Roman" w:eastAsia="宋体" w:cs="Times New Roman"/>
                <w:kern w:val="0"/>
                <w:sz w:val="22"/>
                <w:szCs w:val="22"/>
                <w:lang w:bidi="ar"/>
              </w:rPr>
              <w:t>adonilimab Administration</w:t>
            </w:r>
            <w:r>
              <w:rPr>
                <w:rFonts w:ascii="Times New Roman" w:hAnsi="Times New Roman" w:eastAsia="宋体" w:cs="Times New Roman"/>
                <w:kern w:val="0"/>
                <w:sz w:val="22"/>
                <w:szCs w:val="22"/>
                <w:vertAlign w:val="superscript"/>
                <w:lang w:bidi="ar"/>
              </w:rPr>
              <w:t>18</w:t>
            </w:r>
          </w:p>
        </w:tc>
        <w:tc>
          <w:tcPr>
            <w:tcW w:w="663" w:type="pct"/>
            <w:tcMar>
              <w:top w:w="120" w:type="dxa"/>
              <w:left w:w="120" w:type="dxa"/>
              <w:bottom w:w="120" w:type="dxa"/>
              <w:right w:w="120" w:type="dxa"/>
            </w:tcMar>
            <w:vAlign w:val="center"/>
          </w:tcPr>
          <w:p w14:paraId="3C3E2B09">
            <w:pPr>
              <w:spacing w:line="360" w:lineRule="auto"/>
              <w:rPr>
                <w:rFonts w:ascii="Times New Roman" w:hAnsi="Times New Roman" w:cs="Times New Roman"/>
                <w:sz w:val="22"/>
                <w:szCs w:val="22"/>
              </w:rPr>
            </w:pPr>
          </w:p>
        </w:tc>
        <w:tc>
          <w:tcPr>
            <w:tcW w:w="721" w:type="pct"/>
            <w:tcMar>
              <w:top w:w="120" w:type="dxa"/>
              <w:left w:w="120" w:type="dxa"/>
              <w:bottom w:w="120" w:type="dxa"/>
              <w:right w:w="120" w:type="dxa"/>
            </w:tcMar>
            <w:vAlign w:val="center"/>
          </w:tcPr>
          <w:p w14:paraId="7CD17190">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887" w:type="pct"/>
            <w:tcMar>
              <w:top w:w="120" w:type="dxa"/>
              <w:left w:w="120" w:type="dxa"/>
              <w:bottom w:w="120" w:type="dxa"/>
              <w:right w:w="120" w:type="dxa"/>
            </w:tcMar>
            <w:vAlign w:val="center"/>
          </w:tcPr>
          <w:p w14:paraId="010FFD77">
            <w:pPr>
              <w:spacing w:line="360" w:lineRule="auto"/>
              <w:rPr>
                <w:rFonts w:ascii="Times New Roman" w:hAnsi="Times New Roman" w:cs="Times New Roman"/>
                <w:sz w:val="22"/>
                <w:szCs w:val="22"/>
              </w:rPr>
            </w:pPr>
          </w:p>
        </w:tc>
        <w:tc>
          <w:tcPr>
            <w:tcW w:w="729" w:type="pct"/>
            <w:tcMar>
              <w:top w:w="120" w:type="dxa"/>
              <w:left w:w="120" w:type="dxa"/>
              <w:bottom w:w="120" w:type="dxa"/>
              <w:right w:w="120" w:type="dxa"/>
            </w:tcMar>
            <w:vAlign w:val="center"/>
          </w:tcPr>
          <w:p w14:paraId="2CCBB7CD">
            <w:pPr>
              <w:spacing w:line="360" w:lineRule="auto"/>
              <w:rPr>
                <w:rFonts w:ascii="Times New Roman" w:hAnsi="Times New Roman" w:cs="Times New Roman"/>
                <w:sz w:val="22"/>
                <w:szCs w:val="22"/>
              </w:rPr>
            </w:pPr>
          </w:p>
        </w:tc>
        <w:tc>
          <w:tcPr>
            <w:tcW w:w="845" w:type="pct"/>
            <w:tcMar>
              <w:top w:w="120" w:type="dxa"/>
              <w:left w:w="120" w:type="dxa"/>
              <w:bottom w:w="120" w:type="dxa"/>
              <w:right w:w="120" w:type="dxa"/>
            </w:tcMar>
            <w:vAlign w:val="center"/>
          </w:tcPr>
          <w:p w14:paraId="7AF511B5">
            <w:pPr>
              <w:spacing w:line="360" w:lineRule="auto"/>
              <w:rPr>
                <w:rFonts w:ascii="Times New Roman" w:hAnsi="Times New Roman" w:cs="Times New Roman"/>
                <w:sz w:val="22"/>
                <w:szCs w:val="22"/>
              </w:rPr>
            </w:pPr>
          </w:p>
        </w:tc>
      </w:tr>
      <w:tr w14:paraId="06D17F4C">
        <w:trPr>
          <w:jc w:val="center"/>
        </w:trPr>
        <w:tc>
          <w:tcPr>
            <w:tcW w:w="1155" w:type="pct"/>
            <w:tcMar>
              <w:top w:w="120" w:type="dxa"/>
              <w:left w:w="120" w:type="dxa"/>
              <w:bottom w:w="120" w:type="dxa"/>
              <w:right w:w="120" w:type="dxa"/>
            </w:tcMar>
            <w:vAlign w:val="center"/>
          </w:tcPr>
          <w:p w14:paraId="30170CB4">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Cisplatin/Carboplatin Administration</w:t>
            </w:r>
          </w:p>
        </w:tc>
        <w:tc>
          <w:tcPr>
            <w:tcW w:w="663" w:type="pct"/>
            <w:tcMar>
              <w:top w:w="120" w:type="dxa"/>
              <w:left w:w="120" w:type="dxa"/>
              <w:bottom w:w="120" w:type="dxa"/>
              <w:right w:w="120" w:type="dxa"/>
            </w:tcMar>
            <w:vAlign w:val="center"/>
          </w:tcPr>
          <w:p w14:paraId="17D58490">
            <w:pPr>
              <w:spacing w:line="360" w:lineRule="auto"/>
              <w:rPr>
                <w:rFonts w:ascii="Times New Roman" w:hAnsi="Times New Roman" w:cs="Times New Roman"/>
                <w:sz w:val="22"/>
                <w:szCs w:val="22"/>
              </w:rPr>
            </w:pPr>
          </w:p>
        </w:tc>
        <w:tc>
          <w:tcPr>
            <w:tcW w:w="721" w:type="pct"/>
            <w:tcMar>
              <w:top w:w="120" w:type="dxa"/>
              <w:left w:w="120" w:type="dxa"/>
              <w:bottom w:w="120" w:type="dxa"/>
              <w:right w:w="120" w:type="dxa"/>
            </w:tcMar>
            <w:vAlign w:val="center"/>
          </w:tcPr>
          <w:p w14:paraId="6670DE8D">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887" w:type="pct"/>
            <w:tcMar>
              <w:top w:w="120" w:type="dxa"/>
              <w:left w:w="120" w:type="dxa"/>
              <w:bottom w:w="120" w:type="dxa"/>
              <w:right w:w="120" w:type="dxa"/>
            </w:tcMar>
            <w:vAlign w:val="center"/>
          </w:tcPr>
          <w:p w14:paraId="494A9796">
            <w:pPr>
              <w:spacing w:line="360" w:lineRule="auto"/>
              <w:rPr>
                <w:rFonts w:ascii="Times New Roman" w:hAnsi="Times New Roman" w:cs="Times New Roman"/>
                <w:sz w:val="22"/>
                <w:szCs w:val="22"/>
              </w:rPr>
            </w:pPr>
          </w:p>
        </w:tc>
        <w:tc>
          <w:tcPr>
            <w:tcW w:w="729" w:type="pct"/>
            <w:tcMar>
              <w:top w:w="120" w:type="dxa"/>
              <w:left w:w="120" w:type="dxa"/>
              <w:bottom w:w="120" w:type="dxa"/>
              <w:right w:w="120" w:type="dxa"/>
            </w:tcMar>
            <w:vAlign w:val="center"/>
          </w:tcPr>
          <w:p w14:paraId="2C2BD5FF">
            <w:pPr>
              <w:spacing w:line="360" w:lineRule="auto"/>
              <w:rPr>
                <w:rFonts w:ascii="Times New Roman" w:hAnsi="Times New Roman" w:cs="Times New Roman"/>
                <w:sz w:val="22"/>
                <w:szCs w:val="22"/>
              </w:rPr>
            </w:pPr>
          </w:p>
        </w:tc>
        <w:tc>
          <w:tcPr>
            <w:tcW w:w="845" w:type="pct"/>
            <w:tcMar>
              <w:top w:w="120" w:type="dxa"/>
              <w:left w:w="120" w:type="dxa"/>
              <w:bottom w:w="120" w:type="dxa"/>
              <w:right w:w="120" w:type="dxa"/>
            </w:tcMar>
            <w:vAlign w:val="center"/>
          </w:tcPr>
          <w:p w14:paraId="56626C5F">
            <w:pPr>
              <w:spacing w:line="360" w:lineRule="auto"/>
              <w:rPr>
                <w:rFonts w:ascii="Times New Roman" w:hAnsi="Times New Roman" w:cs="Times New Roman"/>
                <w:sz w:val="22"/>
                <w:szCs w:val="22"/>
              </w:rPr>
            </w:pPr>
          </w:p>
        </w:tc>
      </w:tr>
      <w:tr w14:paraId="772844C7">
        <w:trPr>
          <w:jc w:val="center"/>
        </w:trPr>
        <w:tc>
          <w:tcPr>
            <w:tcW w:w="1155" w:type="pct"/>
            <w:tcMar>
              <w:top w:w="120" w:type="dxa"/>
              <w:left w:w="120" w:type="dxa"/>
              <w:bottom w:w="120" w:type="dxa"/>
              <w:right w:w="120" w:type="dxa"/>
            </w:tcMar>
            <w:vAlign w:val="center"/>
          </w:tcPr>
          <w:p w14:paraId="11B9AA0A">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Etoposide Administration</w:t>
            </w:r>
          </w:p>
        </w:tc>
        <w:tc>
          <w:tcPr>
            <w:tcW w:w="663" w:type="pct"/>
            <w:tcMar>
              <w:top w:w="120" w:type="dxa"/>
              <w:left w:w="120" w:type="dxa"/>
              <w:bottom w:w="120" w:type="dxa"/>
              <w:right w:w="120" w:type="dxa"/>
            </w:tcMar>
            <w:vAlign w:val="center"/>
          </w:tcPr>
          <w:p w14:paraId="6CF6E59D">
            <w:pPr>
              <w:spacing w:line="360" w:lineRule="auto"/>
              <w:rPr>
                <w:rFonts w:ascii="Times New Roman" w:hAnsi="Times New Roman" w:cs="Times New Roman"/>
                <w:sz w:val="22"/>
                <w:szCs w:val="22"/>
              </w:rPr>
            </w:pPr>
          </w:p>
        </w:tc>
        <w:tc>
          <w:tcPr>
            <w:tcW w:w="721" w:type="pct"/>
            <w:tcMar>
              <w:top w:w="120" w:type="dxa"/>
              <w:left w:w="120" w:type="dxa"/>
              <w:bottom w:w="120" w:type="dxa"/>
              <w:right w:w="120" w:type="dxa"/>
            </w:tcMar>
            <w:vAlign w:val="center"/>
          </w:tcPr>
          <w:p w14:paraId="6E88CE9C">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887" w:type="pct"/>
            <w:tcMar>
              <w:top w:w="120" w:type="dxa"/>
              <w:left w:w="120" w:type="dxa"/>
              <w:bottom w:w="120" w:type="dxa"/>
              <w:right w:w="120" w:type="dxa"/>
            </w:tcMar>
            <w:vAlign w:val="center"/>
          </w:tcPr>
          <w:p w14:paraId="2DDDC3FB">
            <w:pPr>
              <w:spacing w:line="360" w:lineRule="auto"/>
              <w:rPr>
                <w:rFonts w:ascii="Times New Roman" w:hAnsi="Times New Roman" w:cs="Times New Roman"/>
                <w:sz w:val="22"/>
                <w:szCs w:val="22"/>
              </w:rPr>
            </w:pPr>
          </w:p>
        </w:tc>
        <w:tc>
          <w:tcPr>
            <w:tcW w:w="729" w:type="pct"/>
            <w:tcMar>
              <w:top w:w="120" w:type="dxa"/>
              <w:left w:w="120" w:type="dxa"/>
              <w:bottom w:w="120" w:type="dxa"/>
              <w:right w:w="120" w:type="dxa"/>
            </w:tcMar>
            <w:vAlign w:val="center"/>
          </w:tcPr>
          <w:p w14:paraId="0F8F1292">
            <w:pPr>
              <w:spacing w:line="360" w:lineRule="auto"/>
              <w:rPr>
                <w:rFonts w:ascii="Times New Roman" w:hAnsi="Times New Roman" w:cs="Times New Roman"/>
                <w:sz w:val="22"/>
                <w:szCs w:val="22"/>
              </w:rPr>
            </w:pPr>
          </w:p>
        </w:tc>
        <w:tc>
          <w:tcPr>
            <w:tcW w:w="845" w:type="pct"/>
            <w:tcMar>
              <w:top w:w="120" w:type="dxa"/>
              <w:left w:w="120" w:type="dxa"/>
              <w:bottom w:w="120" w:type="dxa"/>
              <w:right w:w="120" w:type="dxa"/>
            </w:tcMar>
            <w:vAlign w:val="center"/>
          </w:tcPr>
          <w:p w14:paraId="1D52E7B0">
            <w:pPr>
              <w:spacing w:line="360" w:lineRule="auto"/>
              <w:rPr>
                <w:rFonts w:ascii="Times New Roman" w:hAnsi="Times New Roman" w:cs="Times New Roman"/>
                <w:sz w:val="22"/>
                <w:szCs w:val="22"/>
              </w:rPr>
            </w:pPr>
          </w:p>
        </w:tc>
      </w:tr>
      <w:tr w14:paraId="2A1EAF55">
        <w:trPr>
          <w:jc w:val="center"/>
        </w:trPr>
        <w:tc>
          <w:tcPr>
            <w:tcW w:w="1155" w:type="pct"/>
            <w:tcMar>
              <w:top w:w="120" w:type="dxa"/>
              <w:left w:w="120" w:type="dxa"/>
              <w:bottom w:w="120" w:type="dxa"/>
              <w:right w:w="120" w:type="dxa"/>
            </w:tcMar>
            <w:vAlign w:val="center"/>
          </w:tcPr>
          <w:p w14:paraId="021406CC">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Radiotherapy</w:t>
            </w:r>
          </w:p>
        </w:tc>
        <w:tc>
          <w:tcPr>
            <w:tcW w:w="663" w:type="pct"/>
            <w:tcMar>
              <w:top w:w="120" w:type="dxa"/>
              <w:left w:w="120" w:type="dxa"/>
              <w:bottom w:w="120" w:type="dxa"/>
              <w:right w:w="120" w:type="dxa"/>
            </w:tcMar>
            <w:vAlign w:val="center"/>
          </w:tcPr>
          <w:p w14:paraId="7038AC59">
            <w:pPr>
              <w:spacing w:line="360" w:lineRule="auto"/>
              <w:rPr>
                <w:rFonts w:ascii="Times New Roman" w:hAnsi="Times New Roman" w:cs="Times New Roman"/>
                <w:sz w:val="22"/>
                <w:szCs w:val="22"/>
              </w:rPr>
            </w:pPr>
          </w:p>
        </w:tc>
        <w:tc>
          <w:tcPr>
            <w:tcW w:w="721" w:type="pct"/>
            <w:tcMar>
              <w:top w:w="120" w:type="dxa"/>
              <w:left w:w="120" w:type="dxa"/>
              <w:bottom w:w="120" w:type="dxa"/>
              <w:right w:w="120" w:type="dxa"/>
            </w:tcMar>
            <w:vAlign w:val="center"/>
          </w:tcPr>
          <w:p w14:paraId="61A1766A">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c>
          <w:tcPr>
            <w:tcW w:w="887" w:type="pct"/>
            <w:tcMar>
              <w:top w:w="120" w:type="dxa"/>
              <w:left w:w="120" w:type="dxa"/>
              <w:bottom w:w="120" w:type="dxa"/>
              <w:right w:w="120" w:type="dxa"/>
            </w:tcMar>
            <w:vAlign w:val="center"/>
          </w:tcPr>
          <w:p w14:paraId="794D2071">
            <w:pPr>
              <w:spacing w:line="360" w:lineRule="auto"/>
              <w:rPr>
                <w:rFonts w:ascii="Times New Roman" w:hAnsi="Times New Roman" w:cs="Times New Roman"/>
                <w:sz w:val="22"/>
                <w:szCs w:val="22"/>
              </w:rPr>
            </w:pPr>
          </w:p>
        </w:tc>
        <w:tc>
          <w:tcPr>
            <w:tcW w:w="729" w:type="pct"/>
            <w:tcMar>
              <w:top w:w="120" w:type="dxa"/>
              <w:left w:w="120" w:type="dxa"/>
              <w:bottom w:w="120" w:type="dxa"/>
              <w:right w:w="120" w:type="dxa"/>
            </w:tcMar>
            <w:vAlign w:val="center"/>
          </w:tcPr>
          <w:p w14:paraId="6722A3F3">
            <w:pPr>
              <w:spacing w:line="360" w:lineRule="auto"/>
              <w:rPr>
                <w:rFonts w:ascii="Times New Roman" w:hAnsi="Times New Roman" w:cs="Times New Roman"/>
                <w:sz w:val="22"/>
                <w:szCs w:val="22"/>
              </w:rPr>
            </w:pPr>
          </w:p>
        </w:tc>
        <w:tc>
          <w:tcPr>
            <w:tcW w:w="845" w:type="pct"/>
            <w:tcMar>
              <w:top w:w="120" w:type="dxa"/>
              <w:left w:w="120" w:type="dxa"/>
              <w:bottom w:w="120" w:type="dxa"/>
              <w:right w:w="120" w:type="dxa"/>
            </w:tcMar>
            <w:vAlign w:val="center"/>
          </w:tcPr>
          <w:p w14:paraId="6A56F8C5">
            <w:pPr>
              <w:spacing w:line="360" w:lineRule="auto"/>
              <w:rPr>
                <w:rFonts w:ascii="Times New Roman" w:hAnsi="Times New Roman" w:cs="Times New Roman"/>
                <w:sz w:val="22"/>
                <w:szCs w:val="22"/>
              </w:rPr>
            </w:pPr>
          </w:p>
        </w:tc>
      </w:tr>
      <w:tr w14:paraId="40BC188A">
        <w:trPr>
          <w:jc w:val="center"/>
        </w:trPr>
        <w:tc>
          <w:tcPr>
            <w:tcW w:w="1155" w:type="pct"/>
            <w:tcMar>
              <w:top w:w="120" w:type="dxa"/>
              <w:left w:w="120" w:type="dxa"/>
              <w:bottom w:w="120" w:type="dxa"/>
              <w:right w:w="120" w:type="dxa"/>
            </w:tcMar>
            <w:vAlign w:val="center"/>
          </w:tcPr>
          <w:p w14:paraId="1E29E1B2">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Survival Status</w:t>
            </w:r>
          </w:p>
        </w:tc>
        <w:tc>
          <w:tcPr>
            <w:tcW w:w="663" w:type="pct"/>
            <w:tcMar>
              <w:top w:w="120" w:type="dxa"/>
              <w:left w:w="120" w:type="dxa"/>
              <w:bottom w:w="120" w:type="dxa"/>
              <w:right w:w="120" w:type="dxa"/>
            </w:tcMar>
            <w:vAlign w:val="center"/>
          </w:tcPr>
          <w:p w14:paraId="0E30CB22">
            <w:pPr>
              <w:spacing w:line="360" w:lineRule="auto"/>
              <w:rPr>
                <w:rFonts w:ascii="Times New Roman" w:hAnsi="Times New Roman" w:cs="Times New Roman"/>
                <w:sz w:val="22"/>
                <w:szCs w:val="22"/>
              </w:rPr>
            </w:pPr>
          </w:p>
        </w:tc>
        <w:tc>
          <w:tcPr>
            <w:tcW w:w="721" w:type="pct"/>
            <w:tcMar>
              <w:top w:w="120" w:type="dxa"/>
              <w:left w:w="120" w:type="dxa"/>
              <w:bottom w:w="120" w:type="dxa"/>
              <w:right w:w="120" w:type="dxa"/>
            </w:tcMar>
            <w:vAlign w:val="center"/>
          </w:tcPr>
          <w:p w14:paraId="03337737">
            <w:pPr>
              <w:spacing w:line="360" w:lineRule="auto"/>
              <w:rPr>
                <w:rFonts w:ascii="Times New Roman" w:hAnsi="Times New Roman" w:cs="Times New Roman"/>
                <w:sz w:val="22"/>
                <w:szCs w:val="22"/>
              </w:rPr>
            </w:pPr>
          </w:p>
        </w:tc>
        <w:tc>
          <w:tcPr>
            <w:tcW w:w="887" w:type="pct"/>
            <w:tcMar>
              <w:top w:w="120" w:type="dxa"/>
              <w:left w:w="120" w:type="dxa"/>
              <w:bottom w:w="120" w:type="dxa"/>
              <w:right w:w="120" w:type="dxa"/>
            </w:tcMar>
            <w:vAlign w:val="center"/>
          </w:tcPr>
          <w:p w14:paraId="5B565FFE">
            <w:pPr>
              <w:spacing w:line="360" w:lineRule="auto"/>
              <w:rPr>
                <w:rFonts w:ascii="Times New Roman" w:hAnsi="Times New Roman" w:cs="Times New Roman"/>
                <w:sz w:val="22"/>
                <w:szCs w:val="22"/>
              </w:rPr>
            </w:pPr>
          </w:p>
        </w:tc>
        <w:tc>
          <w:tcPr>
            <w:tcW w:w="729" w:type="pct"/>
            <w:tcMar>
              <w:top w:w="120" w:type="dxa"/>
              <w:left w:w="120" w:type="dxa"/>
              <w:bottom w:w="120" w:type="dxa"/>
              <w:right w:w="120" w:type="dxa"/>
            </w:tcMar>
            <w:vAlign w:val="center"/>
          </w:tcPr>
          <w:p w14:paraId="58D54D96">
            <w:pPr>
              <w:spacing w:line="360" w:lineRule="auto"/>
              <w:rPr>
                <w:rFonts w:ascii="Times New Roman" w:hAnsi="Times New Roman" w:cs="Times New Roman"/>
                <w:sz w:val="22"/>
                <w:szCs w:val="22"/>
              </w:rPr>
            </w:pPr>
          </w:p>
        </w:tc>
        <w:tc>
          <w:tcPr>
            <w:tcW w:w="845" w:type="pct"/>
            <w:tcMar>
              <w:top w:w="120" w:type="dxa"/>
              <w:left w:w="120" w:type="dxa"/>
              <w:bottom w:w="120" w:type="dxa"/>
              <w:right w:w="120" w:type="dxa"/>
            </w:tcMar>
            <w:vAlign w:val="center"/>
          </w:tcPr>
          <w:p w14:paraId="7B60CEA3">
            <w:pPr>
              <w:widowControl/>
              <w:spacing w:after="180" w:line="360" w:lineRule="auto"/>
              <w:jc w:val="center"/>
              <w:rPr>
                <w:rFonts w:ascii="Times New Roman" w:hAnsi="Times New Roman" w:cs="Times New Roman"/>
                <w:sz w:val="22"/>
                <w:szCs w:val="22"/>
              </w:rPr>
            </w:pPr>
            <w:r>
              <w:rPr>
                <w:rFonts w:ascii="Times New Roman" w:hAnsi="Times New Roman" w:eastAsia="宋体" w:cs="Times New Roman"/>
                <w:kern w:val="0"/>
                <w:sz w:val="22"/>
                <w:szCs w:val="22"/>
                <w:lang w:bidi="ar"/>
              </w:rPr>
              <w:t>X</w:t>
            </w:r>
          </w:p>
        </w:tc>
      </w:tr>
    </w:tbl>
    <w:p w14:paraId="681745DC">
      <w:pPr>
        <w:pStyle w:val="13"/>
        <w:widowControl/>
        <w:spacing w:beforeAutospacing="0" w:afterAutospacing="0" w:line="360" w:lineRule="auto"/>
        <w:ind w:firstLine="480" w:firstLineChars="200"/>
        <w:jc w:val="both"/>
        <w:rPr>
          <w:rFonts w:ascii="Times New Roman" w:hAnsi="Times New Roman" w:eastAsia="宋体"/>
        </w:rPr>
      </w:pPr>
      <w:r>
        <w:rPr>
          <w:rStyle w:val="17"/>
          <w:rFonts w:ascii="Times New Roman" w:hAnsi="Times New Roman" w:eastAsia="宋体"/>
        </w:rPr>
        <w:t>Abbreviations:</w:t>
      </w:r>
      <w:r>
        <w:rPr>
          <w:rFonts w:ascii="Times New Roman" w:hAnsi="Times New Roman" w:eastAsia="宋体"/>
        </w:rPr>
        <w:t xml:space="preserve"> CK=creatine kinase; CK-MB=creatine kinase-MB; ECOG=Eastern Cooperative Oncology Group; FFPE=formalin-fixed paraffin-embedded; HBV=hepatitis B virus; HCV=hepatitis C virus; MRI=magnetic resonance imaging; PET=positron emission tomography; NCI-CTCAE=National Cancer Institute Common Terminology Criteria for Adverse Events; RECIST=Response Evaluation Criteria in Solid Tumors; TSH=thyroid-stimulating hormone; v=version</w:t>
      </w:r>
    </w:p>
    <w:p w14:paraId="264A4FE7">
      <w:pPr>
        <w:widowControl/>
        <w:numPr>
          <w:ilvl w:val="0"/>
          <w:numId w:val="3"/>
        </w:numPr>
        <w:spacing w:line="360" w:lineRule="auto"/>
        <w:ind w:left="0" w:firstLine="420" w:firstLineChars="200"/>
        <w:rPr>
          <w:rFonts w:ascii="Times New Roman" w:hAnsi="Times New Roman" w:eastAsia="宋体" w:cs="Times New Roman"/>
          <w:szCs w:val="21"/>
        </w:rPr>
      </w:pPr>
      <w:r>
        <w:rPr>
          <w:rFonts w:ascii="Times New Roman" w:hAnsi="Times New Roman" w:eastAsia="宋体" w:cs="Times New Roman"/>
          <w:szCs w:val="21"/>
        </w:rPr>
        <w:t>Any study-specific examinations or procedures must be performed only after written informed consent has been obtained. Results of standard examinations or tests performed within 28 days before the first dose may be used for screening assessments and need not be repeated.</w:t>
      </w:r>
    </w:p>
    <w:p w14:paraId="3294F4EA">
      <w:pPr>
        <w:widowControl/>
        <w:numPr>
          <w:ilvl w:val="0"/>
          <w:numId w:val="3"/>
        </w:numPr>
        <w:spacing w:line="360" w:lineRule="auto"/>
        <w:ind w:left="0" w:firstLine="420" w:firstLineChars="200"/>
        <w:rPr>
          <w:rFonts w:ascii="Times New Roman" w:hAnsi="Times New Roman" w:eastAsia="宋体" w:cs="Times New Roman"/>
          <w:szCs w:val="21"/>
        </w:rPr>
      </w:pPr>
      <w:r>
        <w:rPr>
          <w:rFonts w:ascii="Times New Roman" w:hAnsi="Times New Roman" w:eastAsia="宋体" w:cs="Times New Roman"/>
          <w:szCs w:val="21"/>
        </w:rPr>
        <w:t>The end-of-treatment visit is conducted when the investigator determines that study treatment will no longer be administered. If routine laboratory tests (e.g., hematology, serum chemistry) were performed within 7 days before the end-of-treatment visit, these tests need not be repeated. If the interval between the end-of-treatment visit and the previous tumor assessment is less than 9 weeks, tumor assessment at the end-of-treatment visit is not required.</w:t>
      </w:r>
    </w:p>
    <w:p w14:paraId="5ABA798F">
      <w:pPr>
        <w:widowControl/>
        <w:numPr>
          <w:ilvl w:val="0"/>
          <w:numId w:val="3"/>
        </w:numPr>
        <w:spacing w:line="360" w:lineRule="auto"/>
        <w:ind w:left="0" w:firstLine="420" w:firstLineChars="200"/>
        <w:rPr>
          <w:rFonts w:ascii="Times New Roman" w:hAnsi="Times New Roman" w:eastAsia="宋体" w:cs="Times New Roman"/>
          <w:szCs w:val="21"/>
        </w:rPr>
      </w:pPr>
      <w:r>
        <w:rPr>
          <w:rFonts w:ascii="Times New Roman" w:hAnsi="Times New Roman" w:eastAsia="宋体" w:cs="Times New Roman"/>
          <w:szCs w:val="21"/>
        </w:rPr>
        <w:t>The safety follow-up visit should be conducted 30 days (±7 days) after the last dose of study treatment or before starting new anticancer therapy, whichever occurs first. If the efficacy assessment shows disease progression leading to treatment discontinuation, the end-of-treatment visit can serve as the safety follow-up visit if conducted within 30 days (±7 days) after the last study treatment.</w:t>
      </w:r>
    </w:p>
    <w:p w14:paraId="05386DBA">
      <w:pPr>
        <w:widowControl/>
        <w:numPr>
          <w:ilvl w:val="0"/>
          <w:numId w:val="3"/>
        </w:numPr>
        <w:spacing w:line="360" w:lineRule="auto"/>
        <w:ind w:left="0" w:firstLine="420" w:firstLineChars="200"/>
        <w:rPr>
          <w:rFonts w:ascii="Times New Roman" w:hAnsi="Times New Roman" w:eastAsia="宋体" w:cs="Times New Roman"/>
          <w:szCs w:val="21"/>
        </w:rPr>
      </w:pPr>
      <w:r>
        <w:rPr>
          <w:rFonts w:ascii="Times New Roman" w:hAnsi="Times New Roman" w:eastAsia="宋体" w:cs="Times New Roman"/>
          <w:szCs w:val="21"/>
        </w:rPr>
        <w:t>After the safety visit, survival follow-up information will be collected approximately every 3 months via telephone, patient medical records, and/or clinical visits until patient death, loss to follow-up, withdrawal of consent, or study termination by the sponsor. Unless patients request to withdraw from follow-up, the research center will follow up with all patients to obtain survival status and information on subsequent anticancer treatments.</w:t>
      </w:r>
    </w:p>
    <w:p w14:paraId="62F51DB5">
      <w:pPr>
        <w:widowControl/>
        <w:numPr>
          <w:ilvl w:val="0"/>
          <w:numId w:val="3"/>
        </w:numPr>
        <w:spacing w:line="360" w:lineRule="auto"/>
        <w:ind w:left="0" w:firstLine="420" w:firstLineChars="200"/>
        <w:rPr>
          <w:rFonts w:ascii="Times New Roman" w:hAnsi="Times New Roman" w:eastAsia="宋体" w:cs="Times New Roman"/>
          <w:szCs w:val="21"/>
        </w:rPr>
      </w:pPr>
      <w:r>
        <w:rPr>
          <w:rFonts w:ascii="Times New Roman" w:hAnsi="Times New Roman" w:eastAsia="宋体" w:cs="Times New Roman"/>
          <w:szCs w:val="21"/>
        </w:rPr>
        <w:t>Demographic information includes age or year of birth, gender, and ethnicity; medical history; and tumor history, including treatment history for primary diagnosis, such as prior surgery, prior radiotherapy, and prior medication evaluations. Imaging results conducted before study enrollment may be collected for investigator review.</w:t>
      </w:r>
    </w:p>
    <w:p w14:paraId="26B87E3A">
      <w:pPr>
        <w:widowControl/>
        <w:numPr>
          <w:ilvl w:val="0"/>
          <w:numId w:val="3"/>
        </w:numPr>
        <w:spacing w:line="360" w:lineRule="auto"/>
        <w:ind w:left="0" w:firstLine="420" w:firstLineChars="200"/>
        <w:rPr>
          <w:rFonts w:ascii="Times New Roman" w:hAnsi="Times New Roman" w:eastAsia="宋体" w:cs="Times New Roman"/>
          <w:szCs w:val="21"/>
        </w:rPr>
      </w:pPr>
      <w:r>
        <w:rPr>
          <w:rFonts w:ascii="Times New Roman" w:hAnsi="Times New Roman" w:eastAsia="宋体" w:cs="Times New Roman"/>
          <w:szCs w:val="21"/>
        </w:rPr>
        <w:t>Vital signs collected during the study include temperature, pulse rate, and blood pressure; height is measured and recorded only during screening.</w:t>
      </w:r>
    </w:p>
    <w:p w14:paraId="0D61AF83">
      <w:pPr>
        <w:widowControl/>
        <w:numPr>
          <w:ilvl w:val="0"/>
          <w:numId w:val="3"/>
        </w:numPr>
        <w:spacing w:line="360" w:lineRule="auto"/>
        <w:ind w:left="0" w:firstLine="420" w:firstLineChars="200"/>
        <w:rPr>
          <w:rFonts w:ascii="Times New Roman" w:hAnsi="Times New Roman" w:eastAsia="宋体" w:cs="Times New Roman"/>
          <w:szCs w:val="21"/>
        </w:rPr>
      </w:pPr>
      <w:r>
        <w:rPr>
          <w:rFonts w:ascii="Times New Roman" w:hAnsi="Times New Roman" w:eastAsia="宋体" w:cs="Times New Roman"/>
          <w:szCs w:val="21"/>
        </w:rPr>
        <w:t>A complete physical examination is performed during the screening visit within 28 days before the first dose. During subsequent visits (and as clinically indicated), a limited, symptom-focused physical examination will be performed.</w:t>
      </w:r>
    </w:p>
    <w:p w14:paraId="13ABC207">
      <w:pPr>
        <w:widowControl/>
        <w:numPr>
          <w:ilvl w:val="0"/>
          <w:numId w:val="3"/>
        </w:numPr>
        <w:spacing w:line="360" w:lineRule="auto"/>
        <w:ind w:left="0" w:firstLine="420" w:firstLineChars="200"/>
        <w:rPr>
          <w:rFonts w:ascii="Times New Roman" w:hAnsi="Times New Roman" w:eastAsia="宋体" w:cs="Times New Roman"/>
          <w:szCs w:val="21"/>
        </w:rPr>
      </w:pPr>
      <w:r>
        <w:rPr>
          <w:rFonts w:ascii="Times New Roman" w:hAnsi="Times New Roman" w:eastAsia="宋体" w:cs="Times New Roman"/>
          <w:szCs w:val="21"/>
        </w:rPr>
        <w:t>ECG is performed and recorded during screening and obtained at subsequent visits only when clinically indicated. Patients are advised to rest for ≥10 minutes before each ECG measurement.</w:t>
      </w:r>
    </w:p>
    <w:p w14:paraId="79200BC6">
      <w:pPr>
        <w:widowControl/>
        <w:numPr>
          <w:ilvl w:val="0"/>
          <w:numId w:val="3"/>
        </w:numPr>
        <w:spacing w:line="360" w:lineRule="auto"/>
        <w:ind w:left="0" w:firstLine="420" w:firstLineChars="200"/>
        <w:rPr>
          <w:rFonts w:ascii="Times New Roman" w:hAnsi="Times New Roman" w:eastAsia="宋体" w:cs="Times New Roman"/>
          <w:szCs w:val="21"/>
        </w:rPr>
      </w:pPr>
      <w:r>
        <w:rPr>
          <w:rFonts w:ascii="Times New Roman" w:hAnsi="Times New Roman" w:eastAsia="宋体" w:cs="Times New Roman"/>
          <w:szCs w:val="21"/>
        </w:rPr>
        <w:t>Echocardiography is the preferred method for cardiac function assessment and is performed during screening, with subsequent assessments only when clinically indicated. When necessary, multigated acquisition (MUGA) scan is an acceptable alternative. The same method should be used consistently for each patient throughout the study.</w:t>
      </w:r>
    </w:p>
    <w:p w14:paraId="38165A34">
      <w:pPr>
        <w:widowControl/>
        <w:numPr>
          <w:ilvl w:val="0"/>
          <w:numId w:val="3"/>
        </w:numPr>
        <w:spacing w:line="360" w:lineRule="auto"/>
        <w:ind w:left="0" w:firstLine="420" w:firstLineChars="200"/>
        <w:rPr>
          <w:rFonts w:ascii="Times New Roman" w:hAnsi="Times New Roman" w:eastAsia="宋体" w:cs="Times New Roman"/>
          <w:szCs w:val="21"/>
        </w:rPr>
      </w:pPr>
      <w:r>
        <w:rPr>
          <w:rFonts w:ascii="Times New Roman" w:hAnsi="Times New Roman" w:eastAsia="宋体" w:cs="Times New Roman"/>
          <w:szCs w:val="21"/>
        </w:rPr>
        <w:t>Adverse events and laboratory abnormalities will be graded according to NCI-CTCAE version 5.0. The severity of all adverse events will also be assessed.</w:t>
      </w:r>
    </w:p>
    <w:p w14:paraId="4C5E45B1">
      <w:pPr>
        <w:widowControl/>
        <w:numPr>
          <w:ilvl w:val="0"/>
          <w:numId w:val="3"/>
        </w:numPr>
        <w:spacing w:line="360" w:lineRule="auto"/>
        <w:ind w:left="0" w:firstLine="420" w:firstLineChars="200"/>
        <w:rPr>
          <w:rFonts w:ascii="Times New Roman" w:hAnsi="Times New Roman" w:eastAsia="宋体" w:cs="Times New Roman"/>
          <w:szCs w:val="21"/>
        </w:rPr>
      </w:pPr>
      <w:r>
        <w:rPr>
          <w:rFonts w:ascii="Times New Roman" w:hAnsi="Times New Roman" w:eastAsia="宋体" w:cs="Times New Roman"/>
          <w:szCs w:val="21"/>
        </w:rPr>
        <w:t>Hematology, serum chemistry, coagulation, total CK and CK-MB, and urinalysis assessments will be performed at each research center's laboratory. Hematology, serum chemistry, and coagulation tests are performed within 7 days before the first dose and repeated before subsequent treatments, at the end of treatment, and during safety follow-up visits. Total CK and CK-MB and urinalysis are performed at baseline during screening and repeated during the study only when clinically necessary.</w:t>
      </w:r>
    </w:p>
    <w:p w14:paraId="5995D316">
      <w:pPr>
        <w:widowControl/>
        <w:numPr>
          <w:ilvl w:val="0"/>
          <w:numId w:val="3"/>
        </w:numPr>
        <w:spacing w:line="360" w:lineRule="auto"/>
        <w:ind w:left="0" w:firstLine="420" w:firstLineChars="200"/>
        <w:rPr>
          <w:rFonts w:ascii="Times New Roman" w:hAnsi="Times New Roman" w:eastAsia="宋体" w:cs="Times New Roman"/>
          <w:szCs w:val="21"/>
        </w:rPr>
      </w:pPr>
      <w:r>
        <w:rPr>
          <w:rFonts w:ascii="Times New Roman" w:hAnsi="Times New Roman" w:eastAsia="宋体" w:cs="Times New Roman"/>
          <w:szCs w:val="21"/>
        </w:rPr>
        <w:t>A urine pregnancy test (for women of childbearing potential, including those with tubal ligation) must be performed within 7 days before the first dose, with negative results recorded. If the investigator suspects pregnancy during the study, a pregnancy test must be performed for confirmation.</w:t>
      </w:r>
    </w:p>
    <w:p w14:paraId="3E5703C7">
      <w:pPr>
        <w:widowControl/>
        <w:numPr>
          <w:ilvl w:val="0"/>
          <w:numId w:val="3"/>
        </w:numPr>
        <w:spacing w:line="360" w:lineRule="auto"/>
        <w:ind w:left="0" w:firstLine="420" w:firstLineChars="200"/>
        <w:rPr>
          <w:rFonts w:ascii="Times New Roman" w:hAnsi="Times New Roman" w:eastAsia="宋体" w:cs="Times New Roman"/>
          <w:szCs w:val="21"/>
        </w:rPr>
      </w:pPr>
      <w:r>
        <w:rPr>
          <w:rFonts w:ascii="Times New Roman" w:hAnsi="Times New Roman" w:eastAsia="宋体" w:cs="Times New Roman"/>
          <w:szCs w:val="21"/>
        </w:rPr>
        <w:t>Thyroid function (FT3, FT4, and TSH) will be analyzed at each research center's laboratory, performed at baseline during screening and repeated during the study only when clinically necessary.</w:t>
      </w:r>
    </w:p>
    <w:p w14:paraId="7C14FF69">
      <w:pPr>
        <w:widowControl/>
        <w:numPr>
          <w:ilvl w:val="0"/>
          <w:numId w:val="3"/>
        </w:numPr>
        <w:spacing w:line="360" w:lineRule="auto"/>
        <w:ind w:left="0" w:firstLine="420" w:firstLineChars="200"/>
        <w:rPr>
          <w:rFonts w:ascii="Times New Roman" w:hAnsi="Times New Roman" w:eastAsia="宋体" w:cs="Times New Roman"/>
          <w:szCs w:val="21"/>
        </w:rPr>
      </w:pPr>
      <w:r>
        <w:rPr>
          <w:rFonts w:ascii="Times New Roman" w:hAnsi="Times New Roman" w:eastAsia="宋体" w:cs="Times New Roman"/>
          <w:szCs w:val="21"/>
        </w:rPr>
        <w:t>Testing during screening includes HBV/HCV serology and/or viral load assessment (HBV DNA and HCV RNA) performed at each research center's laboratory, repeated during the study only when clinically necessary.</w:t>
      </w:r>
    </w:p>
    <w:p w14:paraId="0D4749B4">
      <w:pPr>
        <w:widowControl/>
        <w:numPr>
          <w:ilvl w:val="0"/>
          <w:numId w:val="3"/>
        </w:numPr>
        <w:spacing w:line="360" w:lineRule="auto"/>
        <w:ind w:left="0" w:firstLine="420" w:firstLineChars="200"/>
        <w:rPr>
          <w:rFonts w:ascii="Times New Roman" w:hAnsi="Times New Roman" w:eastAsia="宋体" w:cs="Times New Roman"/>
          <w:szCs w:val="21"/>
        </w:rPr>
      </w:pPr>
      <w:r>
        <w:rPr>
          <w:rFonts w:ascii="Times New Roman" w:hAnsi="Times New Roman" w:eastAsia="宋体" w:cs="Times New Roman"/>
          <w:szCs w:val="21"/>
        </w:rPr>
        <w:t>Pulmonary function tests are performed during screening and the study when clinically indicated.</w:t>
      </w:r>
    </w:p>
    <w:p w14:paraId="5E81FFA1">
      <w:pPr>
        <w:widowControl/>
        <w:numPr>
          <w:ilvl w:val="0"/>
          <w:numId w:val="3"/>
        </w:numPr>
        <w:spacing w:line="360" w:lineRule="auto"/>
        <w:ind w:left="0" w:firstLine="420" w:firstLineChars="200"/>
        <w:rPr>
          <w:rFonts w:ascii="Times New Roman" w:hAnsi="Times New Roman" w:eastAsia="宋体" w:cs="Times New Roman"/>
          <w:szCs w:val="21"/>
        </w:rPr>
      </w:pPr>
      <w:r>
        <w:rPr>
          <w:rFonts w:ascii="Times New Roman" w:hAnsi="Times New Roman" w:eastAsia="宋体" w:cs="Times New Roman"/>
          <w:szCs w:val="21"/>
        </w:rPr>
        <w:t>All measurable and evaluable lesions must be assessed and recorded during the screening visit. The screening visit and subsequent assessments must include chest (CT scan) or abdominal examinations (CT scan, MRI, or ultrasound). If radiological examinations were performed within 28 days before obtaining written informed consent, these results may be used without repetition. During screening and subsequent visits, head MRI, bone scans, or PET scans will be arranged when clinically indicated. The same imaging protocol used during screening should be maintained for each disease site throughout the study.</w:t>
      </w:r>
    </w:p>
    <w:p w14:paraId="0A7B25B2">
      <w:pPr>
        <w:widowControl/>
        <w:numPr>
          <w:ilvl w:val="0"/>
          <w:numId w:val="3"/>
        </w:numPr>
        <w:spacing w:line="360" w:lineRule="auto"/>
        <w:ind w:left="0" w:firstLine="420" w:firstLineChars="200"/>
        <w:rPr>
          <w:rFonts w:ascii="Times New Roman" w:hAnsi="Times New Roman" w:eastAsia="宋体" w:cs="Times New Roman"/>
          <w:szCs w:val="21"/>
        </w:rPr>
      </w:pPr>
      <w:r>
        <w:rPr>
          <w:rFonts w:ascii="Times New Roman" w:hAnsi="Times New Roman" w:eastAsia="宋体" w:cs="Times New Roman"/>
          <w:szCs w:val="21"/>
        </w:rPr>
        <w:t>For exploring potential efficacy-predictive biomarkers, blood samples will be collected from all patients at baseline. Collection of archived tumor tissue specimens (FFPE blocks or ≥5 unstained slides) and blood specimens before concurrent chemoradiotherapy is encouraged but not mandatory.</w:t>
      </w:r>
    </w:p>
    <w:p w14:paraId="54894CCC">
      <w:pPr>
        <w:widowControl/>
        <w:numPr>
          <w:ilvl w:val="0"/>
          <w:numId w:val="3"/>
        </w:numPr>
        <w:spacing w:line="360" w:lineRule="auto"/>
        <w:ind w:left="0" w:firstLine="420" w:firstLineChars="200"/>
        <w:rPr>
          <w:rFonts w:ascii="Times New Roman" w:hAnsi="Times New Roman" w:cs="Times New Roman"/>
          <w:sz w:val="24"/>
        </w:rPr>
      </w:pPr>
      <w:r>
        <w:rPr>
          <w:rFonts w:ascii="Times New Roman" w:hAnsi="Times New Roman" w:eastAsia="宋体" w:cs="Times New Roman"/>
          <w:szCs w:val="21"/>
          <w:lang w:val="en-US"/>
        </w:rPr>
        <w:t>Cadonilimab</w:t>
      </w:r>
      <w:r>
        <w:rPr>
          <w:rFonts w:ascii="Times New Roman" w:hAnsi="Times New Roman" w:eastAsia="宋体" w:cs="Times New Roman"/>
          <w:szCs w:val="21"/>
        </w:rPr>
        <w:t xml:space="preserve"> is administered via intravenous infusion over 120 minutes ±15 minutes. For subjects who cannot tolerate a 120-minute infusion, the infusion time may be extended to a maximum of 240 minutes.</w:t>
      </w:r>
    </w:p>
    <w:p w14:paraId="4B380DA8">
      <w:pPr>
        <w:pStyle w:val="2"/>
        <w:spacing w:line="360" w:lineRule="auto"/>
        <w:ind w:firstLineChars="200"/>
        <w:rPr>
          <w:rFonts w:ascii="Times New Roman" w:hAnsi="Times New Roman" w:cs="Times New Roman"/>
        </w:rPr>
      </w:pPr>
      <w:bookmarkStart w:id="63" w:name="_Toc452968286"/>
      <w:bookmarkStart w:id="64" w:name="_Toc922475692"/>
      <w:r>
        <w:rPr>
          <w:rFonts w:ascii="Times New Roman" w:hAnsi="Times New Roman" w:cs="Times New Roman"/>
        </w:rPr>
        <w:t>8 Study Assessments and Procedures</w:t>
      </w:r>
      <w:bookmarkEnd w:id="63"/>
      <w:bookmarkEnd w:id="64"/>
    </w:p>
    <w:p w14:paraId="1ADD8FB5">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The flowchart of scheduled study assessments is provided in Section 7. Patients will be closely monitored for safety and tolerability throughout the study. All assessments must be performed and documented for each patient.</w:t>
      </w:r>
    </w:p>
    <w:p w14:paraId="66E0B85F">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Patients should be assessed for toxicity prior to each dose; dosing will occur only if the clinical assessment and local laboratory test values are acceptable.</w:t>
      </w:r>
    </w:p>
    <w:p w14:paraId="0AE2E862">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If the timing of a protocol-mandated study visit coincides with a holiday and/or weekend that precludes the visit, the visit should be scheduled on the nearest following feasible date, with subsequent visits rescheduled accordingly. Systemic therapy visits will be within 3 days except within 1 day for the concurrent chemoradiotherapy portion.</w:t>
      </w:r>
    </w:p>
    <w:p w14:paraId="008E50AD">
      <w:pPr>
        <w:pStyle w:val="4"/>
        <w:spacing w:line="360" w:lineRule="auto"/>
        <w:ind w:firstLineChars="200"/>
        <w:rPr>
          <w:rFonts w:hint="default" w:ascii="Times New Roman" w:hAnsi="Times New Roman"/>
        </w:rPr>
      </w:pPr>
      <w:bookmarkStart w:id="65" w:name="_Toc1364507751"/>
      <w:r>
        <w:rPr>
          <w:rFonts w:hint="default" w:ascii="Times New Roman" w:hAnsi="Times New Roman"/>
        </w:rPr>
        <w:t>8.1 Medical History</w:t>
      </w:r>
      <w:bookmarkEnd w:id="65"/>
    </w:p>
    <w:p w14:paraId="3B714E1A">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Medical history includes clinically significant diseases within the previous 5 years, smoking history, cancer history (including tumor characteristics such as hormone receptor status), prior cancer therapies and procedures, and all medications used by the patient within 7 days before the screening visit (including prescription, over-the-counter, and herbal/homeopathic remedies and therapies).</w:t>
      </w:r>
    </w:p>
    <w:p w14:paraId="57201938">
      <w:pPr>
        <w:pStyle w:val="4"/>
        <w:spacing w:line="360" w:lineRule="auto"/>
        <w:ind w:firstLineChars="200"/>
        <w:rPr>
          <w:rFonts w:hint="default" w:ascii="Times New Roman" w:hAnsi="Times New Roman"/>
        </w:rPr>
      </w:pPr>
      <w:bookmarkStart w:id="66" w:name="_Toc303904744"/>
      <w:r>
        <w:rPr>
          <w:rFonts w:hint="default" w:ascii="Times New Roman" w:hAnsi="Times New Roman"/>
        </w:rPr>
        <w:t>8.2 Physical Examination and Vital Signs</w:t>
      </w:r>
      <w:bookmarkEnd w:id="66"/>
    </w:p>
    <w:p w14:paraId="48441D4F">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A complete physical examination will be performed at screening and at the treatment discontinuation visit and should include the evaluation of head, eye, ear, nose, and throat and cardiovascular, dermatologic, musculoskeletal, respiratory, gastrointestinal, and neurologic systems.</w:t>
      </w:r>
    </w:p>
    <w:p w14:paraId="10814C1A">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A limited physical examination will be performed at other visits to assess changes from baseline abnormalities and any new abnormalities and to evaluate patient-reported symptoms. New or worsened abnormalities should be recorded as AEs if appropriate.</w:t>
      </w:r>
    </w:p>
    <w:p w14:paraId="6A7BA7D1">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All patients should be monitored for symptoms of brain metastases. Symptoms suggestive of new or worsening central nervous system (CNS) metastases should prompt a full neurological examination. A CT or magnetic resonance imaging (MRI) scan of the head should be done as clinically indicated to confirm or refute new or worsening brain involvement.</w:t>
      </w:r>
    </w:p>
    <w:p w14:paraId="08317B1B">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Vital signs will include measurements of heart rate, systolic and diastolic blood pressures while the patient is in a seated position, and temperature.</w:t>
      </w:r>
    </w:p>
    <w:p w14:paraId="5484FDD5">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For the first infusion, the patient's vital signs (heart rate, blood pressure, and temperature) should be determined within 60 minutes before, during (every 15 [±5] minutes), and 30 (±10) minutes after the infusion. For subsequent infusions, vital signs will be collected within 60 minutes before and within 30 minutes after the infusion. Vital signs should be collected during the infusion only if clinically indicated. Patients will be informed about the possibility of delayed post-infusion symptoms and instructed to contact their study physician if they develop such symptoms.</w:t>
      </w:r>
    </w:p>
    <w:p w14:paraId="3A0CACD0">
      <w:pPr>
        <w:pStyle w:val="4"/>
        <w:spacing w:line="360" w:lineRule="auto"/>
        <w:ind w:firstLineChars="200"/>
        <w:rPr>
          <w:rFonts w:hint="default" w:ascii="Times New Roman" w:hAnsi="Times New Roman"/>
        </w:rPr>
      </w:pPr>
      <w:bookmarkStart w:id="67" w:name="_Toc1010919842"/>
      <w:r>
        <w:rPr>
          <w:rFonts w:hint="default" w:ascii="Times New Roman" w:hAnsi="Times New Roman"/>
        </w:rPr>
        <w:t>8.3 Laboratory Assessments</w:t>
      </w:r>
      <w:bookmarkEnd w:id="67"/>
    </w:p>
    <w:p w14:paraId="73E496D4">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Samples for hematology, serum chemistries, coagulation, urinalysis, and the pregnancy test will be analyzed at the study site's local laboratory. Analysis of biomarkers on tumor and blood samples will be performed at a central laboratory.</w:t>
      </w:r>
    </w:p>
    <w:p w14:paraId="1B73959A">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Local laboratory assessments will include the following:</w:t>
      </w:r>
    </w:p>
    <w:p w14:paraId="2B9CB869">
      <w:pPr>
        <w:numPr>
          <w:ilvl w:val="0"/>
          <w:numId w:val="4"/>
        </w:numPr>
        <w:spacing w:before="156" w:beforeLines="50" w:line="360" w:lineRule="auto"/>
        <w:ind w:left="420" w:firstLine="480" w:firstLineChars="200"/>
        <w:rPr>
          <w:rFonts w:ascii="Times New Roman" w:hAnsi="Times New Roman" w:cs="Times New Roman"/>
          <w:sz w:val="24"/>
        </w:rPr>
      </w:pPr>
      <w:r>
        <w:rPr>
          <w:rFonts w:ascii="Times New Roman" w:hAnsi="Times New Roman" w:cs="Times New Roman"/>
          <w:sz w:val="24"/>
        </w:rPr>
        <w:t>Hematology (complete blood count (CBC), including red blood cell (RBC) count, hemoglobin, hematocrit, white blood cell (WBC) count with differential, and platelet count)</w:t>
      </w:r>
    </w:p>
    <w:p w14:paraId="03E38533">
      <w:pPr>
        <w:numPr>
          <w:ilvl w:val="0"/>
          <w:numId w:val="4"/>
        </w:numPr>
        <w:spacing w:before="156" w:beforeLines="50" w:line="360" w:lineRule="auto"/>
        <w:ind w:left="420" w:firstLine="480" w:firstLineChars="200"/>
        <w:rPr>
          <w:rFonts w:ascii="Times New Roman" w:hAnsi="Times New Roman" w:cs="Times New Roman"/>
          <w:sz w:val="24"/>
        </w:rPr>
      </w:pPr>
      <w:r>
        <w:rPr>
          <w:rFonts w:ascii="Times New Roman" w:hAnsi="Times New Roman" w:cs="Times New Roman"/>
          <w:sz w:val="24"/>
        </w:rPr>
        <w:t>Serum chemistries (glucose, blood urea nitrogen (BUN), creatinine, sodium, potassium, chloride, bicarbonate, calcium, total bilirubin, ALT, AST, alkaline phosphatase, lactate dehydrogenase (LDH), total protein, and albumin)</w:t>
      </w:r>
    </w:p>
    <w:p w14:paraId="2B4606B1">
      <w:pPr>
        <w:numPr>
          <w:ilvl w:val="0"/>
          <w:numId w:val="4"/>
        </w:numPr>
        <w:spacing w:before="156" w:beforeLines="50" w:line="360" w:lineRule="auto"/>
        <w:ind w:left="420" w:firstLine="480" w:firstLineChars="200"/>
        <w:rPr>
          <w:rFonts w:ascii="Times New Roman" w:hAnsi="Times New Roman" w:cs="Times New Roman"/>
          <w:sz w:val="24"/>
        </w:rPr>
      </w:pPr>
      <w:r>
        <w:rPr>
          <w:rFonts w:ascii="Times New Roman" w:hAnsi="Times New Roman" w:cs="Times New Roman"/>
          <w:sz w:val="24"/>
        </w:rPr>
        <w:t>Thyroid-stimulating hormone (TSH)/HIV test</w:t>
      </w:r>
    </w:p>
    <w:p w14:paraId="43FAB8A5">
      <w:pPr>
        <w:numPr>
          <w:ilvl w:val="0"/>
          <w:numId w:val="4"/>
        </w:numPr>
        <w:spacing w:before="156" w:beforeLines="50" w:line="360" w:lineRule="auto"/>
        <w:ind w:left="420" w:firstLine="480" w:firstLineChars="200"/>
        <w:rPr>
          <w:rFonts w:ascii="Times New Roman" w:hAnsi="Times New Roman" w:cs="Times New Roman"/>
          <w:sz w:val="24"/>
        </w:rPr>
      </w:pPr>
      <w:r>
        <w:rPr>
          <w:rFonts w:ascii="Times New Roman" w:hAnsi="Times New Roman" w:cs="Times New Roman"/>
          <w:sz w:val="24"/>
        </w:rPr>
        <w:t>Pregnancy test, either serum or urine (for women of childbearing potential, including women who have had a tubal ligation)</w:t>
      </w:r>
    </w:p>
    <w:p w14:paraId="7A6CFF43">
      <w:pPr>
        <w:numPr>
          <w:ilvl w:val="0"/>
          <w:numId w:val="4"/>
        </w:numPr>
        <w:spacing w:before="156" w:beforeLines="50" w:line="360" w:lineRule="auto"/>
        <w:ind w:left="420" w:firstLine="480" w:firstLineChars="200"/>
        <w:rPr>
          <w:rFonts w:ascii="Times New Roman" w:hAnsi="Times New Roman" w:cs="Times New Roman"/>
          <w:sz w:val="24"/>
        </w:rPr>
      </w:pPr>
      <w:r>
        <w:rPr>
          <w:rFonts w:ascii="Times New Roman" w:hAnsi="Times New Roman" w:cs="Times New Roman"/>
          <w:sz w:val="24"/>
        </w:rPr>
        <w:t>Thyroid function testing (free T3, and free T4), Epstein-Barr virus (EBV) serology (EBV nuclear antigen (EBNA) immunoglobulin G (IgG)), HBV serology (HBsAg, antibodies against HBsAg, hepatitis B core antigen), and HCV serology (anti-HCV) as clinically indicated</w:t>
      </w:r>
    </w:p>
    <w:p w14:paraId="1F591C87">
      <w:pPr>
        <w:numPr>
          <w:ilvl w:val="0"/>
          <w:numId w:val="4"/>
        </w:numPr>
        <w:spacing w:before="156" w:beforeLines="50" w:line="360" w:lineRule="auto"/>
        <w:ind w:left="420" w:firstLine="480" w:firstLineChars="200"/>
        <w:rPr>
          <w:rFonts w:ascii="Times New Roman" w:hAnsi="Times New Roman" w:cs="Times New Roman"/>
          <w:sz w:val="24"/>
        </w:rPr>
      </w:pPr>
      <w:r>
        <w:rPr>
          <w:rFonts w:ascii="Times New Roman" w:hAnsi="Times New Roman" w:cs="Times New Roman"/>
          <w:sz w:val="24"/>
        </w:rPr>
        <w:t>HBV DNA test is required for patients who have known positive serology for anti-HBc</w:t>
      </w:r>
    </w:p>
    <w:p w14:paraId="45D32082">
      <w:pPr>
        <w:numPr>
          <w:ilvl w:val="0"/>
          <w:numId w:val="4"/>
        </w:numPr>
        <w:spacing w:before="156" w:beforeLines="50" w:line="360" w:lineRule="auto"/>
        <w:ind w:left="420" w:firstLine="480" w:firstLineChars="200"/>
        <w:rPr>
          <w:rFonts w:ascii="Times New Roman" w:hAnsi="Times New Roman" w:cs="Times New Roman"/>
          <w:sz w:val="24"/>
        </w:rPr>
      </w:pPr>
      <w:r>
        <w:rPr>
          <w:rFonts w:ascii="Times New Roman" w:hAnsi="Times New Roman" w:cs="Times New Roman"/>
          <w:sz w:val="24"/>
        </w:rPr>
        <w:t>HCV RNA test is required for patients who have known positive serology for anti-HCV</w:t>
      </w:r>
    </w:p>
    <w:p w14:paraId="44410AA4">
      <w:pPr>
        <w:numPr>
          <w:ilvl w:val="0"/>
          <w:numId w:val="4"/>
        </w:numPr>
        <w:spacing w:before="156" w:beforeLines="50" w:line="360" w:lineRule="auto"/>
        <w:ind w:left="420" w:firstLine="480" w:firstLineChars="200"/>
        <w:rPr>
          <w:rFonts w:ascii="Times New Roman" w:hAnsi="Times New Roman" w:cs="Times New Roman"/>
          <w:sz w:val="24"/>
        </w:rPr>
      </w:pPr>
      <w:r>
        <w:rPr>
          <w:rFonts w:ascii="Times New Roman" w:hAnsi="Times New Roman" w:cs="Times New Roman"/>
          <w:sz w:val="24"/>
        </w:rPr>
        <w:t>Echocardiograms:</w:t>
      </w:r>
    </w:p>
    <w:p w14:paraId="44993CFD">
      <w:pPr>
        <w:numPr>
          <w:ilvl w:val="1"/>
          <w:numId w:val="4"/>
        </w:numPr>
        <w:tabs>
          <w:tab w:val="clear" w:pos="840"/>
        </w:tabs>
        <w:spacing w:before="156" w:beforeLines="50" w:line="360" w:lineRule="auto"/>
        <w:ind w:left="840" w:firstLine="480" w:firstLineChars="200"/>
        <w:rPr>
          <w:rFonts w:ascii="Times New Roman" w:hAnsi="Times New Roman" w:cs="Times New Roman"/>
          <w:sz w:val="24"/>
        </w:rPr>
      </w:pPr>
      <w:r>
        <w:rPr>
          <w:rFonts w:ascii="Times New Roman" w:hAnsi="Times New Roman" w:cs="Times New Roman"/>
          <w:sz w:val="24"/>
        </w:rPr>
        <w:t>Echocardiograms will be obtained at the following time intervals:</w:t>
      </w:r>
    </w:p>
    <w:p w14:paraId="38351160">
      <w:pPr>
        <w:numPr>
          <w:ilvl w:val="1"/>
          <w:numId w:val="4"/>
        </w:numPr>
        <w:tabs>
          <w:tab w:val="clear" w:pos="840"/>
        </w:tabs>
        <w:spacing w:before="156" w:beforeLines="50" w:line="360" w:lineRule="auto"/>
        <w:ind w:left="840" w:firstLine="480" w:firstLineChars="2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Prior to enrollment as pre- screening (required)</w:t>
      </w:r>
    </w:p>
    <w:p w14:paraId="48D87D4C">
      <w:pPr>
        <w:numPr>
          <w:ilvl w:val="1"/>
          <w:numId w:val="4"/>
        </w:numPr>
        <w:tabs>
          <w:tab w:val="clear" w:pos="840"/>
        </w:tabs>
        <w:spacing w:before="156" w:beforeLines="50" w:line="360" w:lineRule="auto"/>
        <w:ind w:left="840" w:firstLine="480" w:firstLineChars="2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Between completion of chemoradiotherapy and start of adjuvant immunotherapy (as clinically indicated)</w:t>
      </w:r>
    </w:p>
    <w:p w14:paraId="637D8F25">
      <w:pPr>
        <w:numPr>
          <w:ilvl w:val="1"/>
          <w:numId w:val="4"/>
        </w:numPr>
        <w:tabs>
          <w:tab w:val="clear" w:pos="840"/>
        </w:tabs>
        <w:spacing w:before="156" w:beforeLines="50" w:line="360" w:lineRule="auto"/>
        <w:ind w:left="840" w:firstLine="480" w:firstLineChars="2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At study completion (as clinically indicated)</w:t>
      </w:r>
    </w:p>
    <w:p w14:paraId="623FE606">
      <w:pPr>
        <w:numPr>
          <w:ilvl w:val="0"/>
          <w:numId w:val="4"/>
        </w:numPr>
        <w:spacing w:before="156" w:beforeLines="50" w:line="360" w:lineRule="auto"/>
        <w:ind w:left="420" w:firstLine="480" w:firstLineChars="200"/>
        <w:rPr>
          <w:rFonts w:ascii="Times New Roman" w:hAnsi="Times New Roman" w:cs="Times New Roman"/>
          <w:sz w:val="24"/>
        </w:rPr>
      </w:pPr>
      <w:r>
        <w:rPr>
          <w:rFonts w:ascii="Times New Roman" w:hAnsi="Times New Roman" w:cs="Times New Roman"/>
          <w:sz w:val="24"/>
        </w:rPr>
        <w:t>Pulmonary Function Testing:</w:t>
      </w:r>
    </w:p>
    <w:p w14:paraId="1E09D672">
      <w:pPr>
        <w:numPr>
          <w:ilvl w:val="1"/>
          <w:numId w:val="4"/>
        </w:numPr>
        <w:tabs>
          <w:tab w:val="clear" w:pos="840"/>
        </w:tabs>
        <w:spacing w:before="156" w:beforeLines="50" w:line="360" w:lineRule="auto"/>
        <w:ind w:left="840" w:firstLine="480" w:firstLineChars="200"/>
        <w:rPr>
          <w:rFonts w:ascii="Times New Roman" w:hAnsi="Times New Roman" w:cs="Times New Roman"/>
          <w:sz w:val="24"/>
        </w:rPr>
      </w:pPr>
      <w:r>
        <w:rPr>
          <w:rFonts w:ascii="Times New Roman" w:hAnsi="Times New Roman" w:cs="Times New Roman"/>
          <w:sz w:val="24"/>
        </w:rPr>
        <w:t>Pulmonary Function tests will be completed at the following time intervals and shall include spirometry and diffusion capacity testing:</w:t>
      </w:r>
    </w:p>
    <w:p w14:paraId="0EEAF7D9">
      <w:pPr>
        <w:numPr>
          <w:ilvl w:val="1"/>
          <w:numId w:val="4"/>
        </w:numPr>
        <w:tabs>
          <w:tab w:val="clear" w:pos="840"/>
        </w:tabs>
        <w:spacing w:before="156" w:beforeLines="50" w:line="360" w:lineRule="auto"/>
        <w:ind w:left="840" w:firstLine="480" w:firstLineChars="2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Prior to enrollment as pre-screening</w:t>
      </w:r>
    </w:p>
    <w:p w14:paraId="647770EA">
      <w:pPr>
        <w:numPr>
          <w:ilvl w:val="1"/>
          <w:numId w:val="4"/>
        </w:numPr>
        <w:tabs>
          <w:tab w:val="clear" w:pos="840"/>
        </w:tabs>
        <w:spacing w:before="156" w:beforeLines="50" w:line="360" w:lineRule="auto"/>
        <w:ind w:left="840" w:firstLine="480" w:firstLineChars="2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Between completion of induction immunotherapy and start of chemoradiotherapy</w:t>
      </w:r>
    </w:p>
    <w:p w14:paraId="1070DE63">
      <w:pPr>
        <w:numPr>
          <w:ilvl w:val="1"/>
          <w:numId w:val="4"/>
        </w:numPr>
        <w:tabs>
          <w:tab w:val="clear" w:pos="840"/>
        </w:tabs>
        <w:spacing w:before="156" w:beforeLines="50" w:line="360" w:lineRule="auto"/>
        <w:ind w:left="840" w:firstLine="480" w:firstLineChars="2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At 12 months after start of study therapy</w:t>
      </w:r>
    </w:p>
    <w:p w14:paraId="6B18F29F">
      <w:pPr>
        <w:pStyle w:val="2"/>
        <w:spacing w:line="360" w:lineRule="auto"/>
        <w:ind w:firstLineChars="200"/>
        <w:rPr>
          <w:rFonts w:ascii="Times New Roman" w:hAnsi="Times New Roman" w:cs="Times New Roman"/>
        </w:rPr>
      </w:pPr>
      <w:bookmarkStart w:id="68" w:name="_Toc208454187"/>
      <w:bookmarkStart w:id="69" w:name="_Toc1786653077"/>
      <w:r>
        <w:rPr>
          <w:rFonts w:ascii="Times New Roman" w:hAnsi="Times New Roman" w:cs="Times New Roman"/>
        </w:rPr>
        <w:t>9 Treatment</w:t>
      </w:r>
      <w:bookmarkEnd w:id="68"/>
      <w:bookmarkEnd w:id="69"/>
    </w:p>
    <w:p w14:paraId="4344F745">
      <w:pPr>
        <w:pStyle w:val="4"/>
        <w:spacing w:line="360" w:lineRule="auto"/>
        <w:ind w:firstLineChars="200"/>
        <w:rPr>
          <w:rFonts w:hint="default" w:ascii="Times New Roman" w:hAnsi="Times New Roman"/>
        </w:rPr>
      </w:pPr>
      <w:bookmarkStart w:id="70" w:name="_Toc14429138"/>
      <w:r>
        <w:rPr>
          <w:rFonts w:hint="default" w:ascii="Times New Roman" w:hAnsi="Times New Roman"/>
        </w:rPr>
        <w:t>9.1 Treatment plan</w:t>
      </w:r>
      <w:bookmarkEnd w:id="70"/>
    </w:p>
    <w:p w14:paraId="530B7EE2">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 xml:space="preserve">The protocol therapy consists of induction </w:t>
      </w:r>
      <w:r>
        <w:rPr>
          <w:rFonts w:ascii="Times New Roman" w:hAnsi="Times New Roman" w:cs="Times New Roman"/>
          <w:sz w:val="24"/>
          <w:lang w:val="en-US"/>
        </w:rPr>
        <w:t>Cadonilimab</w:t>
      </w:r>
      <w:r>
        <w:rPr>
          <w:rFonts w:ascii="Times New Roman" w:hAnsi="Times New Roman" w:cs="Times New Roman"/>
          <w:sz w:val="24"/>
        </w:rPr>
        <w:t xml:space="preserve"> combined with platinum plus etoposide for 2 cycles. This is followed by definitive thoracic radiotherapy (54-66Gy) administered concurrently with chemotherapy. Consolidation </w:t>
      </w:r>
      <w:r>
        <w:rPr>
          <w:rFonts w:ascii="Times New Roman" w:hAnsi="Times New Roman" w:cs="Times New Roman"/>
          <w:sz w:val="24"/>
          <w:lang w:val="en-US"/>
        </w:rPr>
        <w:t>Cadonilimab</w:t>
      </w:r>
      <w:r>
        <w:rPr>
          <w:rFonts w:ascii="Times New Roman" w:hAnsi="Times New Roman" w:cs="Times New Roman"/>
          <w:sz w:val="24"/>
        </w:rPr>
        <w:t xml:space="preserve"> will then be administered every 21 days, following the same schedule as the induction phase, starting 1–42 days after the completion of radiotherapy, to achieve a total of one year of therapy.</w:t>
      </w:r>
    </w:p>
    <w:p w14:paraId="5E950733">
      <w:pPr>
        <w:spacing w:before="156" w:beforeLines="50" w:line="360" w:lineRule="auto"/>
        <w:ind w:firstLine="480" w:firstLineChars="200"/>
        <w:rPr>
          <w:rFonts w:ascii="Times New Roman" w:hAnsi="Times New Roman" w:cs="Times New Roman"/>
          <w:b/>
          <w:bCs/>
          <w:sz w:val="24"/>
        </w:rPr>
      </w:pPr>
      <w:r>
        <w:rPr>
          <w:rFonts w:ascii="Times New Roman" w:hAnsi="Times New Roman" w:cs="Times New Roman"/>
          <w:b/>
          <w:bCs/>
          <w:sz w:val="24"/>
        </w:rPr>
        <w:t>Induction therapy:</w:t>
      </w:r>
    </w:p>
    <w:p w14:paraId="09A4760A">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 xml:space="preserve">Induction therapy will consist of </w:t>
      </w:r>
      <w:r>
        <w:rPr>
          <w:rFonts w:ascii="Times New Roman" w:hAnsi="Times New Roman" w:cs="Times New Roman"/>
          <w:sz w:val="24"/>
          <w:lang w:val="en-US"/>
        </w:rPr>
        <w:t>Cadonilimab</w:t>
      </w:r>
      <w:r>
        <w:rPr>
          <w:rFonts w:ascii="Times New Roman" w:hAnsi="Times New Roman" w:cs="Times New Roman"/>
          <w:sz w:val="24"/>
        </w:rPr>
        <w:t xml:space="preserve"> (10mg/Kg </w:t>
      </w:r>
      <w:r>
        <w:rPr>
          <w:rFonts w:hint="default" w:ascii="Times New Roman" w:hAnsi="Times New Roman" w:cs="Times New Roman"/>
          <w:sz w:val="24"/>
          <w:lang w:val="en-US"/>
        </w:rPr>
        <w:t>i</w:t>
      </w:r>
      <w:r>
        <w:rPr>
          <w:rFonts w:ascii="Times New Roman" w:hAnsi="Times New Roman" w:cs="Times New Roman"/>
          <w:sz w:val="24"/>
        </w:rPr>
        <w:t>ntravenous</w:t>
      </w:r>
      <w:r>
        <w:rPr>
          <w:rFonts w:hint="default" w:ascii="Times New Roman" w:hAnsi="Times New Roman" w:cs="Times New Roman"/>
          <w:sz w:val="24"/>
          <w:lang w:val="en-US"/>
        </w:rPr>
        <w:t xml:space="preserve"> injection</w:t>
      </w:r>
      <w:r>
        <w:rPr>
          <w:rFonts w:ascii="Times New Roman" w:hAnsi="Times New Roman" w:cs="Times New Roman"/>
          <w:sz w:val="24"/>
        </w:rPr>
        <w:t xml:space="preserve"> (IV) on day 1) combined with platinum (carboplatin, </w:t>
      </w:r>
      <w:r>
        <w:rPr>
          <w:rFonts w:hint="default" w:ascii="Times New Roman" w:hAnsi="Times New Roman" w:cs="Times New Roman"/>
          <w:sz w:val="24"/>
          <w:lang w:val="en-US"/>
        </w:rPr>
        <w:t>a</w:t>
      </w:r>
      <w:r>
        <w:rPr>
          <w:rFonts w:hint="eastAsia" w:ascii="Times New Roman" w:hAnsi="Times New Roman" w:cs="Times New Roman"/>
          <w:sz w:val="24"/>
        </w:rPr>
        <w:t xml:space="preserve">rea </w:t>
      </w:r>
      <w:r>
        <w:rPr>
          <w:rFonts w:hint="default" w:ascii="Times New Roman" w:hAnsi="Times New Roman" w:cs="Times New Roman"/>
          <w:sz w:val="24"/>
          <w:lang w:val="en-US"/>
        </w:rPr>
        <w:t>u</w:t>
      </w:r>
      <w:r>
        <w:rPr>
          <w:rFonts w:hint="eastAsia" w:ascii="Times New Roman" w:hAnsi="Times New Roman" w:cs="Times New Roman"/>
          <w:sz w:val="24"/>
        </w:rPr>
        <w:t xml:space="preserve">nder the </w:t>
      </w:r>
      <w:r>
        <w:rPr>
          <w:rFonts w:hint="default" w:ascii="Times New Roman" w:hAnsi="Times New Roman" w:cs="Times New Roman"/>
          <w:sz w:val="24"/>
          <w:lang w:val="en-US"/>
        </w:rPr>
        <w:t>p</w:t>
      </w:r>
      <w:r>
        <w:rPr>
          <w:rFonts w:hint="eastAsia" w:ascii="Times New Roman" w:hAnsi="Times New Roman" w:cs="Times New Roman"/>
          <w:sz w:val="24"/>
        </w:rPr>
        <w:t xml:space="preserve">lasma </w:t>
      </w:r>
      <w:r>
        <w:rPr>
          <w:rFonts w:hint="default" w:ascii="Times New Roman" w:hAnsi="Times New Roman" w:cs="Times New Roman"/>
          <w:sz w:val="24"/>
          <w:lang w:val="en-US"/>
        </w:rPr>
        <w:t>c</w:t>
      </w:r>
      <w:r>
        <w:rPr>
          <w:rFonts w:hint="eastAsia" w:ascii="Times New Roman" w:hAnsi="Times New Roman" w:cs="Times New Roman"/>
          <w:sz w:val="24"/>
        </w:rPr>
        <w:t>oncentration-</w:t>
      </w:r>
      <w:r>
        <w:rPr>
          <w:rFonts w:hint="default" w:ascii="Times New Roman" w:hAnsi="Times New Roman" w:cs="Times New Roman"/>
          <w:sz w:val="24"/>
          <w:lang w:val="en-US"/>
        </w:rPr>
        <w:t>t</w:t>
      </w:r>
      <w:r>
        <w:rPr>
          <w:rFonts w:hint="eastAsia" w:ascii="Times New Roman" w:hAnsi="Times New Roman" w:cs="Times New Roman"/>
          <w:sz w:val="24"/>
        </w:rPr>
        <w:t xml:space="preserve">ime </w:t>
      </w:r>
      <w:r>
        <w:rPr>
          <w:rFonts w:hint="default" w:ascii="Times New Roman" w:hAnsi="Times New Roman" w:cs="Times New Roman"/>
          <w:sz w:val="24"/>
          <w:lang w:val="en-US"/>
        </w:rPr>
        <w:t>c</w:t>
      </w:r>
      <w:r>
        <w:rPr>
          <w:rFonts w:hint="eastAsia" w:ascii="Times New Roman" w:hAnsi="Times New Roman" w:cs="Times New Roman"/>
          <w:sz w:val="24"/>
        </w:rPr>
        <w:t>urve</w:t>
      </w:r>
      <w:r>
        <w:rPr>
          <w:rFonts w:ascii="Times New Roman" w:hAnsi="Times New Roman" w:cs="Times New Roman"/>
          <w:sz w:val="24"/>
        </w:rPr>
        <w:t xml:space="preserve"> (AUC)=5, I</w:t>
      </w:r>
      <w:bookmarkStart w:id="225" w:name="_GoBack"/>
      <w:bookmarkEnd w:id="225"/>
      <w:r>
        <w:rPr>
          <w:rFonts w:ascii="Times New Roman" w:hAnsi="Times New Roman" w:cs="Times New Roman"/>
          <w:sz w:val="24"/>
        </w:rPr>
        <w:t>V on day 1; or cisplatin 25 mg/m² IV on days 1–3) plus etoposide (100 mg/m² IV on days 1–3) every 3 weeks for 2 cycles.</w:t>
      </w:r>
    </w:p>
    <w:p w14:paraId="4263524D">
      <w:pPr>
        <w:spacing w:before="156" w:beforeLines="50" w:line="360" w:lineRule="auto"/>
        <w:ind w:firstLine="480" w:firstLineChars="200"/>
        <w:rPr>
          <w:rFonts w:ascii="Times New Roman" w:hAnsi="Times New Roman" w:cs="Times New Roman"/>
          <w:b/>
          <w:bCs/>
          <w:sz w:val="24"/>
        </w:rPr>
      </w:pPr>
      <w:r>
        <w:rPr>
          <w:rFonts w:ascii="Times New Roman" w:hAnsi="Times New Roman" w:cs="Times New Roman"/>
          <w:b/>
          <w:bCs/>
          <w:sz w:val="24"/>
        </w:rPr>
        <w:t>Radiotherapy:</w:t>
      </w:r>
    </w:p>
    <w:p w14:paraId="3AFF1673">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Radiotherapy will consist of total dose 60 Gray (Gy) over 30 fractions in 6 weeks (±10% as needed).</w:t>
      </w:r>
    </w:p>
    <w:p w14:paraId="662EEF21">
      <w:pPr>
        <w:spacing w:before="156" w:beforeLines="50" w:line="360" w:lineRule="auto"/>
        <w:ind w:firstLine="480" w:firstLineChars="200"/>
        <w:rPr>
          <w:rFonts w:ascii="Times New Roman" w:hAnsi="Times New Roman" w:cs="Times New Roman"/>
          <w:b/>
          <w:bCs/>
          <w:sz w:val="24"/>
        </w:rPr>
      </w:pPr>
      <w:r>
        <w:rPr>
          <w:rFonts w:ascii="Times New Roman" w:hAnsi="Times New Roman" w:cs="Times New Roman"/>
          <w:b/>
          <w:bCs/>
          <w:sz w:val="24"/>
        </w:rPr>
        <w:t>Chemotherapy:</w:t>
      </w:r>
    </w:p>
    <w:p w14:paraId="734E7E17">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Chemotherapy will be administered during radiotherapy. This concurrent chemotherapy will consist of etoposide (50 mg/m² IV on days 43–47 and 71–75) plus platinum (cisplatin 50 mg/m² IV on days 43, 50, 71, 78; or carboplatin, AUC=2, weekly).</w:t>
      </w:r>
    </w:p>
    <w:p w14:paraId="46D95753">
      <w:pPr>
        <w:spacing w:before="156" w:beforeLines="50" w:line="360" w:lineRule="auto"/>
        <w:ind w:firstLine="480" w:firstLineChars="200"/>
        <w:rPr>
          <w:rFonts w:ascii="Times New Roman" w:hAnsi="Times New Roman" w:cs="Times New Roman"/>
          <w:b/>
          <w:bCs/>
          <w:sz w:val="24"/>
        </w:rPr>
      </w:pPr>
      <w:r>
        <w:rPr>
          <w:rFonts w:ascii="Times New Roman" w:hAnsi="Times New Roman" w:cs="Times New Roman"/>
          <w:b/>
          <w:bCs/>
          <w:sz w:val="24"/>
        </w:rPr>
        <w:t>Consolidation therapy:</w:t>
      </w:r>
    </w:p>
    <w:p w14:paraId="39E74689">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Cadonilimab 10mg/Kg will be administered as a 30-minute IV infusion every 21 days to complete a total of one year of consolidation therapy.</w:t>
      </w:r>
    </w:p>
    <w:p w14:paraId="7A8FA0D3">
      <w:pPr>
        <w:pStyle w:val="4"/>
        <w:spacing w:line="360" w:lineRule="auto"/>
        <w:ind w:firstLineChars="200"/>
        <w:rPr>
          <w:rFonts w:hint="default" w:ascii="Times New Roman" w:hAnsi="Times New Roman"/>
        </w:rPr>
      </w:pPr>
      <w:bookmarkStart w:id="71" w:name="_Toc1992353902"/>
      <w:r>
        <w:rPr>
          <w:rFonts w:hint="default" w:ascii="Times New Roman" w:hAnsi="Times New Roman"/>
        </w:rPr>
        <w:t>9.2 Radiotherapy</w:t>
      </w:r>
      <w:bookmarkEnd w:id="71"/>
    </w:p>
    <w:p w14:paraId="42000BA9">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As part of cCRT, all patients will receive a radiotherapy course using single daily fractions of 2 Gy for a total dose of 60 Gy±10% (range 54–66 Gy). Intensity-Modulated Radiation Therapy (IMRT) or Volumetric Modulated Arc Therapy (VMAT) planning will be used. CT simulation should be performed within 16 days prior to radiotherapy initiation.</w:t>
      </w:r>
    </w:p>
    <w:p w14:paraId="7190E8D7">
      <w:pPr>
        <w:pStyle w:val="4"/>
        <w:spacing w:line="360" w:lineRule="auto"/>
        <w:ind w:firstLineChars="200"/>
        <w:rPr>
          <w:rFonts w:hint="default" w:ascii="Times New Roman" w:hAnsi="Times New Roman"/>
        </w:rPr>
      </w:pPr>
      <w:bookmarkStart w:id="72" w:name="_Toc1927006890"/>
      <w:r>
        <w:rPr>
          <w:rFonts w:hint="default" w:ascii="Times New Roman" w:hAnsi="Times New Roman"/>
        </w:rPr>
        <w:t>9.2.1 Overview</w:t>
      </w:r>
      <w:bookmarkEnd w:id="72"/>
    </w:p>
    <w:p w14:paraId="64F6862D">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Patients will receive treatment with 6–10 Megaelectronvolt (MeV) photons, 60 Gy over 30 fractions (2 Gy per fraction). IMRT or VMAT planning is allowed. Total dose must be 60 Gy ±10% (54–66 Gy).</w:t>
      </w:r>
    </w:p>
    <w:p w14:paraId="2DE297DC">
      <w:pPr>
        <w:pStyle w:val="4"/>
        <w:spacing w:line="360" w:lineRule="auto"/>
        <w:ind w:firstLineChars="200"/>
        <w:rPr>
          <w:rFonts w:hint="default" w:ascii="Times New Roman" w:hAnsi="Times New Roman"/>
        </w:rPr>
      </w:pPr>
      <w:bookmarkStart w:id="73" w:name="_Toc1003919823"/>
      <w:r>
        <w:rPr>
          <w:rFonts w:hint="default" w:ascii="Times New Roman" w:hAnsi="Times New Roman"/>
        </w:rPr>
        <w:t>9.2.2 Simulation, Immobilization, and Planning CT</w:t>
      </w:r>
      <w:bookmarkEnd w:id="73"/>
    </w:p>
    <w:p w14:paraId="5775ABCF">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Patients must be immobilized using an appropriate system to minimize movement during treatment. Various systems may be used, including vacuum cushions, thermoplastic molds, and rigid headrests. Planning CT must define target volumes and Organs At Risk (OAR) with a slice thickness of 0.3 cm, acquired in the same treatment position and immobilization. CT coverage must include all tissues from the cricoid cartilage to the liver. IV contrast during planning CT is optional.</w:t>
      </w:r>
    </w:p>
    <w:p w14:paraId="164C68C4">
      <w:pPr>
        <w:pStyle w:val="4"/>
        <w:spacing w:line="360" w:lineRule="auto"/>
        <w:ind w:firstLineChars="200"/>
        <w:rPr>
          <w:rFonts w:hint="default" w:ascii="Times New Roman" w:hAnsi="Times New Roman"/>
        </w:rPr>
      </w:pPr>
      <w:bookmarkStart w:id="74" w:name="_Toc101450682"/>
      <w:r>
        <w:rPr>
          <w:rFonts w:hint="default" w:ascii="Times New Roman" w:hAnsi="Times New Roman"/>
        </w:rPr>
        <w:t>9.2.3 Target Volume Definitions</w:t>
      </w:r>
      <w:bookmarkEnd w:id="74"/>
    </w:p>
    <w:p w14:paraId="1536769A">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Following International Commission on Radiation Units and Measurements (ICRU) 62 guidelines, contouring should proceed from Gross Tumor Volume (GTV) → Internal Target Volume (ITV) → Clinical Target Volume (CTV) → Planning Target Volume (PTV).</w:t>
      </w:r>
    </w:p>
    <w:p w14:paraId="7911E1A5">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GTV: The GTV will be the volume of tumor visible on CT or PET imaging or biopsy proven sites. This will in general include lymph nodes within the mediastinum ≥ 1.0 cm in short diameter and/or PET positive lymph nodes. Information from PET imaging should be used to determine occult nodal areas as well as to accurately contour gross disease within areas of atelectasis. For areas within or near inflated lung tissue, lung window settings will be utilized for contouring. For disease within or abutting the mediastinum, soft tissue window settings will be used.</w:t>
      </w:r>
    </w:p>
    <w:p w14:paraId="6999934B">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ITV: The GTV will be expanded based on motion assessment imaging to account for target motion and thus an ITV will be created.</w:t>
      </w:r>
    </w:p>
    <w:p w14:paraId="76E3408C">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CTV: A 0.5 cm expansion</w:t>
      </w:r>
      <w:r>
        <w:rPr>
          <w:rFonts w:hint="eastAsia" w:ascii="Times New Roman" w:hAnsi="Times New Roman" w:cs="Times New Roman"/>
          <w:sz w:val="24"/>
        </w:rPr>
        <w:t xml:space="preserve"> </w:t>
      </w:r>
      <w:r>
        <w:rPr>
          <w:rFonts w:ascii="Times New Roman" w:hAnsi="Times New Roman" w:cs="Times New Roman"/>
          <w:sz w:val="24"/>
        </w:rPr>
        <w:t>of the ITV will be utilized to account for potential occult tumor involvement. This can be edited back from areas w</w:t>
      </w:r>
      <w:r>
        <w:rPr>
          <w:rFonts w:hint="eastAsia" w:ascii="Times New Roman" w:hAnsi="Times New Roman" w:cs="Times New Roman"/>
          <w:sz w:val="24"/>
        </w:rPr>
        <w:t>h</w:t>
      </w:r>
      <w:r>
        <w:rPr>
          <w:rFonts w:ascii="Times New Roman" w:hAnsi="Times New Roman" w:cs="Times New Roman"/>
          <w:sz w:val="24"/>
        </w:rPr>
        <w:t>ere extension cannot occur (blood vessels, bone, chest wall, etc.) unless there is imaging evidence that inclusion would be logical. Elective nodal irradiation of lymph nodes is not allowed on this study. Only areas of gross disease as determined by contrast enhanced CT and PET imaging will be targeted.</w:t>
      </w:r>
    </w:p>
    <w:p w14:paraId="48AADA4C">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PTV: The CTV will be expanded an additional uniform 5mm minimum to create a PTV to which the radiotherapy dose will be prescribed. This can be adjusted to no more than 1.0 cm if patient specific uncertainty requires additional planning margin.</w:t>
      </w:r>
    </w:p>
    <w:p w14:paraId="7AECA16C">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If patients have a CR to induction immunotherapy, the target volume will be modified such that a CTV will be delineated to include the pre-immunotherapy nodal stations in the hilum and mediastinum. The size of this CTV should take into account anatomic changes as a result of the response to therapy, i.e. diminishment in mediastinal width due to response. This CTV will be expanded by 5mm to create a PTV.</w:t>
      </w:r>
    </w:p>
    <w:p w14:paraId="40110F43">
      <w:pPr>
        <w:pStyle w:val="4"/>
        <w:spacing w:line="360" w:lineRule="auto"/>
        <w:ind w:firstLineChars="200"/>
        <w:rPr>
          <w:rFonts w:hint="default" w:ascii="Times New Roman" w:hAnsi="Times New Roman"/>
        </w:rPr>
      </w:pPr>
      <w:bookmarkStart w:id="75" w:name="_Toc2127080303"/>
      <w:r>
        <w:rPr>
          <w:rFonts w:hint="default" w:ascii="Times New Roman" w:hAnsi="Times New Roman"/>
        </w:rPr>
        <w:t>9.2.4 Target Contouring</w:t>
      </w:r>
      <w:bookmarkEnd w:id="75"/>
    </w:p>
    <w:p w14:paraId="5AB4BDDE">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Simulation CT will guide target delineation. Lung windows for parenchymal disease, soft tissue windows for nodal disease. Pre-treatment PET/CT or contrast CT should be fused with simulation CT for accurate contouring.</w:t>
      </w:r>
    </w:p>
    <w:p w14:paraId="65D0A517">
      <w:pPr>
        <w:pStyle w:val="4"/>
        <w:spacing w:line="360" w:lineRule="auto"/>
        <w:ind w:firstLineChars="200"/>
        <w:rPr>
          <w:rFonts w:hint="default" w:ascii="Times New Roman" w:hAnsi="Times New Roman"/>
        </w:rPr>
      </w:pPr>
      <w:bookmarkStart w:id="76" w:name="_Toc678380912"/>
      <w:r>
        <w:rPr>
          <w:rFonts w:hint="default" w:ascii="Times New Roman" w:hAnsi="Times New Roman"/>
        </w:rPr>
        <w:t>9.2.5 Contouring of Normal Tissue Structures</w:t>
      </w:r>
      <w:bookmarkEnd w:id="76"/>
    </w:p>
    <w:p w14:paraId="45003A7E">
      <w:pPr>
        <w:spacing w:before="156" w:beforeLines="50" w:line="360" w:lineRule="auto"/>
        <w:ind w:firstLine="480" w:firstLineChars="200"/>
        <w:rPr>
          <w:rFonts w:ascii="Times New Roman" w:hAnsi="Times New Roman" w:cs="Times New Roman"/>
          <w:i/>
          <w:iCs/>
          <w:sz w:val="24"/>
        </w:rPr>
      </w:pPr>
      <w:r>
        <w:rPr>
          <w:rFonts w:ascii="Times New Roman" w:hAnsi="Times New Roman" w:cs="Times New Roman"/>
          <w:i/>
          <w:iCs/>
          <w:sz w:val="24"/>
        </w:rPr>
        <w:t>Spinal Cord</w:t>
      </w:r>
    </w:p>
    <w:p w14:paraId="2D064488">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The spinal cord will be contoured based on the bony limits of the spinal canal. The spinal cord should be contoured starting at the level of the cricoid cartilage and extending to the level of the Gastroesophageal (GE) junction. In short, this should include the same contouring range as that for the esophagus.</w:t>
      </w:r>
    </w:p>
    <w:p w14:paraId="590E2751">
      <w:pPr>
        <w:spacing w:before="156" w:beforeLines="50" w:line="360" w:lineRule="auto"/>
        <w:ind w:firstLine="480" w:firstLineChars="200"/>
        <w:rPr>
          <w:rFonts w:ascii="Times New Roman" w:hAnsi="Times New Roman" w:cs="Times New Roman"/>
          <w:i/>
          <w:iCs/>
          <w:sz w:val="24"/>
        </w:rPr>
      </w:pPr>
      <w:r>
        <w:rPr>
          <w:rFonts w:ascii="Times New Roman" w:hAnsi="Times New Roman" w:cs="Times New Roman"/>
          <w:i/>
          <w:iCs/>
          <w:sz w:val="24"/>
        </w:rPr>
        <w:t>Esophagus</w:t>
      </w:r>
    </w:p>
    <w:p w14:paraId="01FF1179">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The esophagus will be contoured using mediastinal windowing on CT to correspond to the mucosal, submucosa, and all muscular layers out to the fatty adventitia. The esophagus should be contoured starting at the cricoid cartilage and extend inferiorly to the level of the GE junction.</w:t>
      </w:r>
    </w:p>
    <w:p w14:paraId="27AA31EA">
      <w:pPr>
        <w:spacing w:before="156" w:beforeLines="50" w:line="360" w:lineRule="auto"/>
        <w:ind w:firstLine="480" w:firstLineChars="200"/>
        <w:rPr>
          <w:rFonts w:ascii="Times New Roman" w:hAnsi="Times New Roman" w:cs="Times New Roman"/>
          <w:i/>
          <w:iCs/>
          <w:sz w:val="24"/>
        </w:rPr>
      </w:pPr>
      <w:r>
        <w:rPr>
          <w:rFonts w:ascii="Times New Roman" w:hAnsi="Times New Roman" w:cs="Times New Roman"/>
          <w:i/>
          <w:iCs/>
          <w:sz w:val="24"/>
        </w:rPr>
        <w:t>Brachial Plexus</w:t>
      </w:r>
    </w:p>
    <w:p w14:paraId="648FD767">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The defined ipsilateral brachial plexus originates from the spinal nerves exiting the neuroforamina on the involved side from C5 to T2. The brachial plexus will consist of the actual roots and trunks of the brachial plexus without including the surrogate vasculature. The plexus will be outlined starting from the C5 nerve root and ending at the subclavian neurovascular bundle. Please refer to Kong et al International Journal of Radiation Oncology, Biology, Physics (IJROBP) 2010 thoracic radiotherapy contouring atlas for description of contouring techniques.</w:t>
      </w:r>
    </w:p>
    <w:p w14:paraId="5FD86A08">
      <w:pPr>
        <w:spacing w:before="156" w:beforeLines="50" w:line="360" w:lineRule="auto"/>
        <w:ind w:firstLine="480" w:firstLineChars="200"/>
        <w:rPr>
          <w:rFonts w:ascii="Times New Roman" w:hAnsi="Times New Roman" w:cs="Times New Roman"/>
          <w:i/>
          <w:iCs/>
          <w:sz w:val="24"/>
        </w:rPr>
      </w:pPr>
      <w:r>
        <w:rPr>
          <w:rFonts w:ascii="Times New Roman" w:hAnsi="Times New Roman" w:cs="Times New Roman"/>
          <w:i/>
          <w:iCs/>
          <w:sz w:val="24"/>
        </w:rPr>
        <w:t>Heart</w:t>
      </w:r>
    </w:p>
    <w:p w14:paraId="3B53E51C">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The heart will be contoured along with the pericardial sac. The superior aspect (or base) for purposes of contouring will begin at the level of the root of the great vessels and extend inferiorly to the apex of the heart.</w:t>
      </w:r>
    </w:p>
    <w:p w14:paraId="6F21C625">
      <w:pPr>
        <w:spacing w:before="156" w:beforeLines="50" w:line="360" w:lineRule="auto"/>
        <w:ind w:firstLine="480" w:firstLineChars="200"/>
        <w:rPr>
          <w:rFonts w:ascii="Times New Roman" w:hAnsi="Times New Roman" w:cs="Times New Roman"/>
          <w:i/>
          <w:iCs/>
          <w:sz w:val="24"/>
        </w:rPr>
      </w:pPr>
      <w:r>
        <w:rPr>
          <w:rFonts w:ascii="Times New Roman" w:hAnsi="Times New Roman" w:cs="Times New Roman"/>
          <w:i/>
          <w:iCs/>
          <w:sz w:val="24"/>
        </w:rPr>
        <w:t>Whole Lung</w:t>
      </w:r>
    </w:p>
    <w:p w14:paraId="7F16BC20">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Both the right and left lungs should be contoured as one structure. Contouring should be carried out using pulmonary windows. All inflated and collapsed lung should be contoured; however, gross tumor and trachea/ipsilateral bronchus when contouring structure should not be included in this structure.</w:t>
      </w:r>
    </w:p>
    <w:p w14:paraId="163127B9">
      <w:pPr>
        <w:spacing w:before="156" w:beforeLines="50" w:line="360" w:lineRule="auto"/>
        <w:ind w:firstLine="480" w:firstLineChars="200"/>
        <w:rPr>
          <w:rFonts w:ascii="Times New Roman" w:hAnsi="Times New Roman" w:cs="Times New Roman"/>
          <w:i/>
          <w:iCs/>
          <w:sz w:val="24"/>
        </w:rPr>
      </w:pPr>
      <w:r>
        <w:rPr>
          <w:rFonts w:ascii="Times New Roman" w:hAnsi="Times New Roman" w:cs="Times New Roman"/>
          <w:i/>
          <w:iCs/>
          <w:sz w:val="24"/>
        </w:rPr>
        <w:t>Chest Wall</w:t>
      </w:r>
    </w:p>
    <w:p w14:paraId="51AEAD90">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Although no specific dose constraints will be used, the dose to the chest wall is of interested and will be required. The chest wall is defined as 3cm thick expansion of the lung contour toward the periphery of the patient subtracting the lung and mediastinal contents.</w:t>
      </w:r>
    </w:p>
    <w:p w14:paraId="41EEE078">
      <w:pPr>
        <w:spacing w:before="156" w:beforeLines="50" w:line="360" w:lineRule="auto"/>
        <w:ind w:firstLine="480" w:firstLineChars="200"/>
        <w:rPr>
          <w:rFonts w:ascii="Times New Roman" w:hAnsi="Times New Roman" w:cs="Times New Roman"/>
          <w:i/>
          <w:iCs/>
          <w:sz w:val="24"/>
        </w:rPr>
      </w:pPr>
      <w:r>
        <w:rPr>
          <w:rFonts w:ascii="Times New Roman" w:hAnsi="Times New Roman" w:cs="Times New Roman"/>
          <w:i/>
          <w:iCs/>
          <w:sz w:val="24"/>
        </w:rPr>
        <w:t>Bronchial Tree</w:t>
      </w:r>
    </w:p>
    <w:p w14:paraId="1926E265">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The dose to the proximal bronchial tree will not be restricted but recorded for this protocol in order to potentially learn some dose constraint for hypofractionated therapy with regard to this organ. The bronchial tree will be defined as the distal 2 cm of trachea and include the mainstem bronchi, and lobar bronchi to the level of the segmental bronchi. Please refer to Kong et al IJROBP thoracic contouring atlas for detailed descriptions.</w:t>
      </w:r>
    </w:p>
    <w:p w14:paraId="093EB54A">
      <w:pPr>
        <w:pStyle w:val="4"/>
        <w:spacing w:line="360" w:lineRule="auto"/>
        <w:ind w:firstLineChars="200"/>
        <w:rPr>
          <w:rFonts w:hint="default" w:ascii="Times New Roman" w:hAnsi="Times New Roman"/>
        </w:rPr>
      </w:pPr>
      <w:bookmarkStart w:id="77" w:name="_Toc557306061"/>
      <w:r>
        <w:rPr>
          <w:rFonts w:hint="default" w:ascii="Times New Roman" w:hAnsi="Times New Roman"/>
        </w:rPr>
        <w:t>9.2.6 Normal Tissue Sparing</w:t>
      </w:r>
      <w:bookmarkEnd w:id="77"/>
    </w:p>
    <w:p w14:paraId="3C997DDC">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The following dose constraints will be followed:</w:t>
      </w:r>
    </w:p>
    <w:p w14:paraId="3ABAD4C9">
      <w:pPr>
        <w:spacing w:before="156" w:beforeLines="50" w:line="360" w:lineRule="auto"/>
        <w:ind w:firstLine="480" w:firstLineChars="200"/>
        <w:rPr>
          <w:rFonts w:ascii="Times New Roman" w:hAnsi="Times New Roman" w:cs="Times New Roman"/>
          <w:i/>
          <w:iCs/>
          <w:sz w:val="24"/>
        </w:rPr>
      </w:pPr>
      <w:r>
        <w:rPr>
          <w:rFonts w:ascii="Times New Roman" w:hAnsi="Times New Roman" w:cs="Times New Roman"/>
          <w:i/>
          <w:iCs/>
          <w:sz w:val="24"/>
        </w:rPr>
        <w:t>Lung</w:t>
      </w:r>
    </w:p>
    <w:p w14:paraId="12E8C243">
      <w:pPr>
        <w:spacing w:before="156" w:beforeLines="50" w:line="360" w:lineRule="auto"/>
        <w:ind w:firstLine="480" w:firstLineChars="200"/>
        <w:rPr>
          <w:rFonts w:ascii="Times New Roman" w:hAnsi="Times New Roman" w:cs="Times New Roman"/>
          <w:sz w:val="24"/>
        </w:rPr>
      </w:pPr>
      <w:r>
        <w:rPr>
          <w:rFonts w:ascii="Times New Roman" w:hAnsi="Times New Roman" w:eastAsia="宋体" w:cs="Times New Roman"/>
          <w:color w:val="000000"/>
          <w:kern w:val="0"/>
          <w:sz w:val="24"/>
          <w:lang w:bidi="ar"/>
        </w:rPr>
        <w:t>Volume of Lung Receiving ≥20 Gy (</w:t>
      </w:r>
      <w:r>
        <w:rPr>
          <w:rFonts w:ascii="Times New Roman" w:hAnsi="Times New Roman" w:cs="Times New Roman"/>
          <w:sz w:val="24"/>
        </w:rPr>
        <w:t>V20) &gt; 35% will be a minor deviation, V20 &gt; 40% will be a major deviation. Mean Lung Dose will be recorded and in general should be kept below 20 Gy although the V20 constraints will be utilized as the dose limitations for purposes of this protocol.</w:t>
      </w:r>
    </w:p>
    <w:p w14:paraId="153D9D60">
      <w:pPr>
        <w:spacing w:before="156" w:beforeLines="50" w:line="360" w:lineRule="auto"/>
        <w:ind w:firstLine="480" w:firstLineChars="200"/>
        <w:rPr>
          <w:rFonts w:ascii="Times New Roman" w:hAnsi="Times New Roman" w:cs="Times New Roman"/>
          <w:i/>
          <w:iCs/>
          <w:sz w:val="24"/>
        </w:rPr>
      </w:pPr>
      <w:r>
        <w:rPr>
          <w:rFonts w:ascii="Times New Roman" w:hAnsi="Times New Roman" w:cs="Times New Roman"/>
          <w:i/>
          <w:iCs/>
          <w:sz w:val="24"/>
        </w:rPr>
        <w:t>Heart</w:t>
      </w:r>
    </w:p>
    <w:p w14:paraId="0A20AB37">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 xml:space="preserve">The heart will be treated with the following limits: </w:t>
      </w:r>
      <w:r>
        <w:rPr>
          <w:rFonts w:ascii="Times New Roman" w:hAnsi="Times New Roman" w:eastAsia="宋体" w:cs="Times New Roman"/>
          <w:color w:val="000000"/>
          <w:kern w:val="0"/>
          <w:sz w:val="24"/>
          <w:lang w:bidi="ar"/>
        </w:rPr>
        <w:t>Volume of Heart Receiving ≥50 Gy (</w:t>
      </w:r>
      <w:r>
        <w:rPr>
          <w:rFonts w:ascii="Times New Roman" w:hAnsi="Times New Roman" w:cs="Times New Roman"/>
          <w:sz w:val="24"/>
        </w:rPr>
        <w:t>V50) &lt; 25% and mean heart dose ≤ 25 Gy.</w:t>
      </w:r>
    </w:p>
    <w:p w14:paraId="1A0CBA2B">
      <w:pPr>
        <w:spacing w:before="156" w:beforeLines="50" w:line="360" w:lineRule="auto"/>
        <w:ind w:firstLine="480" w:firstLineChars="200"/>
        <w:rPr>
          <w:rFonts w:ascii="Times New Roman" w:hAnsi="Times New Roman" w:cs="Times New Roman"/>
          <w:i/>
          <w:iCs/>
          <w:sz w:val="24"/>
        </w:rPr>
      </w:pPr>
      <w:r>
        <w:rPr>
          <w:rFonts w:ascii="Times New Roman" w:hAnsi="Times New Roman" w:cs="Times New Roman"/>
          <w:i/>
          <w:iCs/>
          <w:sz w:val="24"/>
        </w:rPr>
        <w:t>Spinal Cord</w:t>
      </w:r>
    </w:p>
    <w:p w14:paraId="2FDB61AE">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The maximum cumulative dose to any contiguous volume ≥ 0.03 cc in the spinal cord will be 45.0 Gy.</w:t>
      </w:r>
    </w:p>
    <w:p w14:paraId="0CDC2973">
      <w:pPr>
        <w:spacing w:before="156" w:beforeLines="50" w:line="360" w:lineRule="auto"/>
        <w:ind w:firstLine="480" w:firstLineChars="200"/>
        <w:rPr>
          <w:rFonts w:ascii="Times New Roman" w:hAnsi="Times New Roman" w:cs="Times New Roman"/>
          <w:i/>
          <w:iCs/>
          <w:sz w:val="24"/>
        </w:rPr>
      </w:pPr>
      <w:r>
        <w:rPr>
          <w:rFonts w:ascii="Times New Roman" w:hAnsi="Times New Roman" w:cs="Times New Roman"/>
          <w:i/>
          <w:iCs/>
          <w:sz w:val="24"/>
        </w:rPr>
        <w:t>Esophagus</w:t>
      </w:r>
    </w:p>
    <w:p w14:paraId="2D420262">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The esophagus is in general located in close proximity to nodal areas involved in stage 3 NSCLC and therefore is challenging to limit the total dose without sacrificing tumor coverage. In general &lt; 30% of the contoured esophagus will be allowed to receive a dose &gt; 55 Gy. This is also not an absolute requirement but maximum dose to a contiguous 5cc of the esophagus will be limited to &lt; 105% of the prescription dose when feasible.</w:t>
      </w:r>
    </w:p>
    <w:p w14:paraId="4B134BE5">
      <w:pPr>
        <w:spacing w:before="156" w:beforeLines="50" w:line="360" w:lineRule="auto"/>
        <w:ind w:firstLine="480" w:firstLineChars="200"/>
        <w:rPr>
          <w:rFonts w:ascii="Times New Roman" w:hAnsi="Times New Roman" w:cs="Times New Roman"/>
          <w:i/>
          <w:iCs/>
          <w:sz w:val="24"/>
        </w:rPr>
      </w:pPr>
      <w:r>
        <w:rPr>
          <w:rFonts w:ascii="Times New Roman" w:hAnsi="Times New Roman" w:cs="Times New Roman"/>
          <w:i/>
          <w:iCs/>
          <w:sz w:val="24"/>
        </w:rPr>
        <w:t>Brachial Plexus</w:t>
      </w:r>
    </w:p>
    <w:p w14:paraId="38848153">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The maximum cumulative dose to any contiguous volume ≥0.03 cc in the brachial plexus will be 62.1 Gy.</w:t>
      </w:r>
    </w:p>
    <w:p w14:paraId="2839D96B">
      <w:pPr>
        <w:pStyle w:val="4"/>
        <w:spacing w:line="360" w:lineRule="auto"/>
        <w:ind w:firstLineChars="200"/>
        <w:rPr>
          <w:rFonts w:hint="default" w:ascii="Times New Roman" w:hAnsi="Times New Roman"/>
        </w:rPr>
      </w:pPr>
      <w:bookmarkStart w:id="78" w:name="_Toc1466782660"/>
      <w:r>
        <w:rPr>
          <w:rFonts w:hint="default" w:ascii="Times New Roman" w:hAnsi="Times New Roman"/>
        </w:rPr>
        <w:t>9.2.7 Time-dose Considerations</w:t>
      </w:r>
      <w:bookmarkEnd w:id="78"/>
    </w:p>
    <w:p w14:paraId="418DFB34">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Treatment will be delivered in single daily fractions, 5 fractions per week. Treatment interruptions are strongly discouraged. RT interruptions for toxicity should be compensated with additional fractions (minimum 6-hour interval) or at the end of therapy. Treatment duration should not exceed planned duration by more than 3 weeks. Efforts must be made to continue uninterrupted RT. Severe esophagitis may allow RT continuation without concurrent chemotherapy if safe. Delays due to force majeure (e.g., holidays, weather) are allowed if full planned RT dose is delivered.</w:t>
      </w:r>
    </w:p>
    <w:p w14:paraId="3C1D9540">
      <w:pPr>
        <w:pStyle w:val="4"/>
        <w:spacing w:line="360" w:lineRule="auto"/>
        <w:ind w:firstLineChars="200"/>
        <w:rPr>
          <w:rFonts w:hint="default" w:ascii="Times New Roman" w:hAnsi="Times New Roman"/>
        </w:rPr>
      </w:pPr>
      <w:bookmarkStart w:id="79" w:name="_Toc1251382707"/>
      <w:r>
        <w:rPr>
          <w:rFonts w:hint="default" w:ascii="Times New Roman" w:hAnsi="Times New Roman"/>
        </w:rPr>
        <w:t>9.3 Chemotherapy and immunotherapy</w:t>
      </w:r>
      <w:bookmarkEnd w:id="79"/>
    </w:p>
    <w:p w14:paraId="530E3C36">
      <w:pPr>
        <w:pStyle w:val="4"/>
        <w:spacing w:line="360" w:lineRule="auto"/>
        <w:ind w:firstLineChars="200"/>
        <w:rPr>
          <w:rFonts w:hint="default" w:ascii="Times New Roman" w:hAnsi="Times New Roman"/>
        </w:rPr>
      </w:pPr>
      <w:bookmarkStart w:id="80" w:name="_Toc1681801478"/>
      <w:r>
        <w:rPr>
          <w:rFonts w:hint="default" w:ascii="Times New Roman" w:hAnsi="Times New Roman"/>
        </w:rPr>
        <w:t>9.3.1 Administration Sequence</w:t>
      </w:r>
      <w:bookmarkEnd w:id="80"/>
    </w:p>
    <w:p w14:paraId="7332E496">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 xml:space="preserve">During induction therapy, </w:t>
      </w:r>
      <w:r>
        <w:rPr>
          <w:rFonts w:ascii="Times New Roman" w:hAnsi="Times New Roman" w:cs="Times New Roman"/>
          <w:sz w:val="24"/>
          <w:lang w:val="en-US"/>
        </w:rPr>
        <w:t>Cadonilimab</w:t>
      </w:r>
      <w:r>
        <w:rPr>
          <w:rFonts w:ascii="Times New Roman" w:hAnsi="Times New Roman" w:cs="Times New Roman"/>
          <w:sz w:val="24"/>
        </w:rPr>
        <w:t xml:space="preserve"> 10 mg/kg IV is administered first, followed by a minimum 30-minute interval before cisplatin 25 mg/m² IV (days 1–3) or carboplatin AUC=5 IV. After another minimum 30-minute interval, etoposide 100 mg/m² IV (days 1–3) is given. Cisplatin/carboplatin and etoposide may be administered on the same day or over three consecutive days.</w:t>
      </w:r>
    </w:p>
    <w:p w14:paraId="63CCC689">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If the investigator determines that toxicity is primarily related to one chemotherapy agent, reducing only that agent while maintaining the other is appropriate. If toxicity is attributed to the combination, both agents should be dose-reduced according to the recommended adjustments. Dose modifications for chemotherapy should follow the approved product labeling. Since there are no age restrictions for enrollment, investigators may adjust chemotherapy doses at their discretion for elderly patients based on individual tolerance.</w:t>
      </w:r>
    </w:p>
    <w:p w14:paraId="3718AA4F">
      <w:pPr>
        <w:pStyle w:val="4"/>
        <w:spacing w:line="360" w:lineRule="auto"/>
        <w:ind w:firstLineChars="200"/>
        <w:rPr>
          <w:rFonts w:hint="default" w:ascii="Times New Roman" w:hAnsi="Times New Roman"/>
        </w:rPr>
      </w:pPr>
      <w:bookmarkStart w:id="81" w:name="_Toc857678932"/>
      <w:r>
        <w:rPr>
          <w:rFonts w:hint="default" w:ascii="Times New Roman" w:hAnsi="Times New Roman"/>
        </w:rPr>
        <w:t>9.3.2 Carboplatin Dose Calculation</w:t>
      </w:r>
      <w:bookmarkEnd w:id="81"/>
    </w:p>
    <w:p w14:paraId="32FED960">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Carboplatin dosing will be calculated using the Calvert formula. Creatinine clearance will be estimated using the Cockcroft-Gault equation to calculate glomerular filtration rate for the Calvert formula.</w:t>
      </w:r>
    </w:p>
    <w:p w14:paraId="25A0644D">
      <w:pPr>
        <w:pStyle w:val="4"/>
        <w:spacing w:line="360" w:lineRule="auto"/>
        <w:ind w:firstLineChars="200"/>
        <w:rPr>
          <w:rFonts w:hint="default" w:ascii="Times New Roman" w:hAnsi="Times New Roman"/>
        </w:rPr>
      </w:pPr>
      <w:bookmarkStart w:id="82" w:name="_Toc1099571460"/>
      <w:r>
        <w:rPr>
          <w:rFonts w:hint="default" w:ascii="Times New Roman" w:hAnsi="Times New Roman"/>
        </w:rPr>
        <w:t xml:space="preserve">9.3.3 </w:t>
      </w:r>
      <w:r>
        <w:rPr>
          <w:rFonts w:hint="default" w:ascii="Times New Roman" w:hAnsi="Times New Roman"/>
          <w:lang w:val="en-US"/>
        </w:rPr>
        <w:t>Cadonilimab</w:t>
      </w:r>
      <w:r>
        <w:rPr>
          <w:rFonts w:hint="default" w:ascii="Times New Roman" w:hAnsi="Times New Roman"/>
        </w:rPr>
        <w:t xml:space="preserve"> Administration</w:t>
      </w:r>
      <w:bookmarkEnd w:id="82"/>
    </w:p>
    <w:p w14:paraId="0F729324">
      <w:pPr>
        <w:spacing w:before="156" w:beforeLines="50" w:line="360" w:lineRule="auto"/>
        <w:ind w:firstLine="480" w:firstLineChars="200"/>
        <w:rPr>
          <w:rFonts w:ascii="Times New Roman" w:hAnsi="Times New Roman" w:cs="Times New Roman"/>
          <w:sz w:val="24"/>
        </w:rPr>
      </w:pPr>
      <w:r>
        <w:rPr>
          <w:rFonts w:ascii="Times New Roman" w:hAnsi="Times New Roman" w:cs="Times New Roman"/>
          <w:b/>
          <w:bCs/>
          <w:sz w:val="24"/>
        </w:rPr>
        <w:t>Dose:</w:t>
      </w:r>
      <w:r>
        <w:rPr>
          <w:rFonts w:ascii="Times New Roman" w:hAnsi="Times New Roman" w:cs="Times New Roman"/>
          <w:sz w:val="24"/>
        </w:rPr>
        <w:t> </w:t>
      </w:r>
      <w:r>
        <w:rPr>
          <w:rFonts w:ascii="Times New Roman" w:hAnsi="Times New Roman" w:cs="Times New Roman"/>
          <w:sz w:val="24"/>
          <w:lang w:val="en-US"/>
        </w:rPr>
        <w:t>Cadonilimab</w:t>
      </w:r>
      <w:r>
        <w:rPr>
          <w:rFonts w:ascii="Times New Roman" w:hAnsi="Times New Roman" w:cs="Times New Roman"/>
          <w:sz w:val="24"/>
        </w:rPr>
        <w:t xml:space="preserve"> is administered at 10 mg/kg every 3 weeks. The dose should be confirmed based on patient weight at each administration. For the first dose, weight measured within three days prior should be used. For subsequent cycles, if weight changes are within 10%, either baseline or actual weight may be used; if weight changes exceed 10%, actual weight must be used. A 5% deviation from the calculated dose is allowed for practical administration.</w:t>
      </w:r>
    </w:p>
    <w:p w14:paraId="3C63C80E">
      <w:pPr>
        <w:spacing w:before="156" w:beforeLines="50" w:line="360" w:lineRule="auto"/>
        <w:ind w:firstLine="480" w:firstLineChars="200"/>
        <w:rPr>
          <w:rFonts w:ascii="Times New Roman" w:hAnsi="Times New Roman" w:cs="Times New Roman"/>
          <w:sz w:val="24"/>
        </w:rPr>
      </w:pPr>
      <w:r>
        <w:rPr>
          <w:rFonts w:ascii="Times New Roman" w:hAnsi="Times New Roman" w:cs="Times New Roman"/>
          <w:b/>
          <w:bCs/>
          <w:sz w:val="24"/>
        </w:rPr>
        <w:t>Infusion Requirements:</w:t>
      </w:r>
      <w:r>
        <w:rPr>
          <w:rFonts w:ascii="Times New Roman" w:hAnsi="Times New Roman" w:cs="Times New Roman"/>
          <w:sz w:val="24"/>
        </w:rPr>
        <w:t> </w:t>
      </w:r>
      <w:r>
        <w:rPr>
          <w:rFonts w:ascii="Times New Roman" w:hAnsi="Times New Roman" w:cs="Times New Roman"/>
          <w:sz w:val="24"/>
          <w:lang w:val="en-US"/>
        </w:rPr>
        <w:t>Cadonilimab</w:t>
      </w:r>
      <w:r>
        <w:rPr>
          <w:rFonts w:ascii="Times New Roman" w:hAnsi="Times New Roman" w:cs="Times New Roman"/>
          <w:sz w:val="24"/>
        </w:rPr>
        <w:t xml:space="preserve"> is given as an intravenous infusion over 120 ±15 minutes. For patients who cannot tolerate this duration, infusion may be extended up to 240 minutes. Prior to infusion, adequate epinephrine, IV diphenhydramine or other antihistamines, and resuscitation equipment must be available for potential severe allergic reactions. The IV line should remain patent after infusion for any required interventions. Dose adjustments are not permitted, except in special circumstances where, after investigator discussion, the dosing interval may be modified to every 6 weeks (Q6W). Delays are permitted for up to 12 weeks from the last dose; beyond this, treatment must be discontinued.</w:t>
      </w:r>
    </w:p>
    <w:p w14:paraId="7056E121">
      <w:pPr>
        <w:spacing w:before="156" w:beforeLines="50" w:line="360" w:lineRule="auto"/>
        <w:ind w:firstLine="480" w:firstLineChars="200"/>
        <w:rPr>
          <w:rFonts w:ascii="Times New Roman" w:hAnsi="Times New Roman" w:cs="Times New Roman"/>
          <w:sz w:val="24"/>
        </w:rPr>
      </w:pPr>
      <w:r>
        <w:rPr>
          <w:rFonts w:ascii="Times New Roman" w:hAnsi="Times New Roman" w:cs="Times New Roman"/>
          <w:b/>
          <w:bCs/>
          <w:sz w:val="24"/>
        </w:rPr>
        <w:t>Preparation and Administration:</w:t>
      </w:r>
      <w:r>
        <w:rPr>
          <w:rFonts w:ascii="Times New Roman" w:hAnsi="Times New Roman" w:cs="Times New Roman"/>
          <w:sz w:val="24"/>
        </w:rPr>
        <w:t xml:space="preserve"> After dilution in an IV bag, </w:t>
      </w:r>
      <w:r>
        <w:rPr>
          <w:rFonts w:ascii="Times New Roman" w:hAnsi="Times New Roman" w:cs="Times New Roman"/>
          <w:sz w:val="24"/>
          <w:lang w:val="en-US"/>
        </w:rPr>
        <w:t>Cadonilimab</w:t>
      </w:r>
      <w:r>
        <w:rPr>
          <w:rFonts w:ascii="Times New Roman" w:hAnsi="Times New Roman" w:cs="Times New Roman"/>
          <w:sz w:val="24"/>
        </w:rPr>
        <w:t xml:space="preserve"> should be administered through a 0.2 μm or 0.22 μm in-line filter. After infusion, the line should be flushed with 5–10 mL of saline to ensure full delivery. Cadonilimab should not be infused through a line containing other medications or solutions due to unknown compatibility. All dosing information, including date, start time, interruption, and completion time, must be recorded in the source documents.</w:t>
      </w:r>
    </w:p>
    <w:p w14:paraId="3C2C2520">
      <w:pPr>
        <w:spacing w:before="156" w:beforeLines="50" w:line="360" w:lineRule="auto"/>
        <w:ind w:firstLine="480" w:firstLineChars="200"/>
        <w:rPr>
          <w:rFonts w:ascii="Times New Roman" w:hAnsi="Times New Roman" w:cs="Times New Roman"/>
          <w:sz w:val="24"/>
        </w:rPr>
      </w:pPr>
      <w:r>
        <w:rPr>
          <w:rFonts w:ascii="Times New Roman" w:hAnsi="Times New Roman" w:cs="Times New Roman"/>
          <w:b/>
          <w:bCs/>
          <w:sz w:val="24"/>
        </w:rPr>
        <w:t>Manufacturer: </w:t>
      </w:r>
      <w:r>
        <w:rPr>
          <w:rFonts w:ascii="Times New Roman" w:hAnsi="Times New Roman" w:cs="Times New Roman"/>
          <w:sz w:val="24"/>
          <w:lang w:val="en-US"/>
        </w:rPr>
        <w:t>Cadonilimab</w:t>
      </w:r>
      <w:r>
        <w:rPr>
          <w:rFonts w:ascii="Times New Roman" w:hAnsi="Times New Roman" w:cs="Times New Roman"/>
          <w:sz w:val="24"/>
        </w:rPr>
        <w:t xml:space="preserve"> (brand name Kaitani), produced by Akeso Biopharma Co., Ltd., is supplied at 125 mg/10 mL per vial.</w:t>
      </w:r>
    </w:p>
    <w:p w14:paraId="218C63B4">
      <w:pPr>
        <w:pStyle w:val="4"/>
        <w:spacing w:line="360" w:lineRule="auto"/>
        <w:ind w:firstLineChars="200"/>
        <w:rPr>
          <w:rFonts w:hint="default" w:ascii="Times New Roman" w:hAnsi="Times New Roman"/>
        </w:rPr>
      </w:pPr>
      <w:bookmarkStart w:id="83" w:name="_Toc1400745785"/>
      <w:r>
        <w:rPr>
          <w:rFonts w:hint="default" w:ascii="Times New Roman" w:hAnsi="Times New Roman"/>
        </w:rPr>
        <w:t>9.4 Concomitant Medications</w:t>
      </w:r>
      <w:bookmarkEnd w:id="83"/>
    </w:p>
    <w:p w14:paraId="60F5033C">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Concomitant therapy includes any prescription medications or over-the-counter preparations used by a patient between the 7 days preceding the screening evaluation and the treatment discontinuation visit. Medications or vaccinations specifically prohibited in the exclusion criteria are not allowed during the ongoing trial. If there is a clinical indication for one of these or other medications or vaccinations specifically prohibited during the trial, discontinuation from trial therapy or vaccination may be required. The final decision on any supportive therapy or vaccination rests with the investigator and/or the participant's primary physician.</w:t>
      </w:r>
    </w:p>
    <w:p w14:paraId="716A0A5A">
      <w:pPr>
        <w:pStyle w:val="4"/>
        <w:spacing w:line="360" w:lineRule="auto"/>
        <w:ind w:firstLineChars="200"/>
        <w:rPr>
          <w:rFonts w:hint="default" w:ascii="Times New Roman" w:hAnsi="Times New Roman"/>
        </w:rPr>
      </w:pPr>
      <w:bookmarkStart w:id="84" w:name="_Toc1618670081"/>
      <w:r>
        <w:rPr>
          <w:rFonts w:hint="default" w:ascii="Times New Roman" w:hAnsi="Times New Roman"/>
        </w:rPr>
        <w:t>9.4.1 Acceptable Concomitant Medications</w:t>
      </w:r>
      <w:bookmarkEnd w:id="84"/>
    </w:p>
    <w:p w14:paraId="169884EB">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All treatments that the investigator considers necessary for a participant's welfare may be administered at the discretion of the investigator in keeping with the community standards of medical care. For instance, Patients who experience infusion-associated symptoms may be treated symptomatically with acetaminophen, ibuprofen, diphenhydramine, and/or cimetidine or another H2 receptor antagonist, as per standard practice. Serious infusion-associated events manifested by dyspnea, hypotension, wheezing, bronchospasm, tachycardia, reduced oxygen saturation, or respiratory distress should be managed with supportive therapies as clinically indicated.</w:t>
      </w:r>
    </w:p>
    <w:p w14:paraId="1F8944E7">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All concomitant medication will be recorded on the CRF including all prescription, Over-The-Counter (OTC), herbal supplements, and IV medications and fluids. If changes occur during the trial period, documentation of drug dosage, frequency, route, and date may also be included on the CRF. All concomitant medications received within 28 days before the first dose of trial treatment and 30 days after the last dose of trial treatment should be recorded.</w:t>
      </w:r>
    </w:p>
    <w:p w14:paraId="710122B8">
      <w:pPr>
        <w:pStyle w:val="4"/>
        <w:spacing w:line="360" w:lineRule="auto"/>
        <w:ind w:firstLineChars="200"/>
        <w:rPr>
          <w:rFonts w:hint="default" w:ascii="Times New Roman" w:hAnsi="Times New Roman"/>
        </w:rPr>
      </w:pPr>
      <w:bookmarkStart w:id="85" w:name="_Toc665211171"/>
      <w:r>
        <w:rPr>
          <w:rFonts w:hint="default" w:ascii="Times New Roman" w:hAnsi="Times New Roman"/>
        </w:rPr>
        <w:t>9.4.2 Prohibited Concomitant therapy</w:t>
      </w:r>
      <w:bookmarkEnd w:id="85"/>
    </w:p>
    <w:p w14:paraId="12D0964A">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Participants are prohibited from receiving the following therapies during the Screening and Treatment Phase of this trial:</w:t>
      </w:r>
    </w:p>
    <w:p w14:paraId="0E21EE9D">
      <w:pPr>
        <w:numPr>
          <w:ilvl w:val="0"/>
          <w:numId w:val="5"/>
        </w:numPr>
        <w:spacing w:before="156" w:beforeLines="50" w:line="360" w:lineRule="auto"/>
        <w:ind w:left="420" w:firstLine="480" w:firstLineChars="200"/>
        <w:rPr>
          <w:rFonts w:ascii="Times New Roman" w:hAnsi="Times New Roman" w:cs="Times New Roman"/>
          <w:sz w:val="24"/>
        </w:rPr>
      </w:pPr>
      <w:r>
        <w:rPr>
          <w:rFonts w:ascii="Times New Roman" w:hAnsi="Times New Roman" w:cs="Times New Roman"/>
          <w:sz w:val="24"/>
        </w:rPr>
        <w:t>Immunotherapy not specified in this protocol</w:t>
      </w:r>
    </w:p>
    <w:p w14:paraId="68DF2500">
      <w:pPr>
        <w:numPr>
          <w:ilvl w:val="0"/>
          <w:numId w:val="5"/>
        </w:numPr>
        <w:spacing w:before="156" w:beforeLines="50" w:line="360" w:lineRule="auto"/>
        <w:ind w:left="420" w:firstLine="480" w:firstLineChars="200"/>
        <w:rPr>
          <w:rFonts w:ascii="Times New Roman" w:hAnsi="Times New Roman" w:cs="Times New Roman"/>
          <w:sz w:val="24"/>
        </w:rPr>
      </w:pPr>
      <w:r>
        <w:rPr>
          <w:rFonts w:ascii="Times New Roman" w:hAnsi="Times New Roman" w:cs="Times New Roman"/>
          <w:sz w:val="24"/>
        </w:rPr>
        <w:t>Chemotherapy not specified in this protocol</w:t>
      </w:r>
    </w:p>
    <w:p w14:paraId="44C25DDB">
      <w:pPr>
        <w:numPr>
          <w:ilvl w:val="0"/>
          <w:numId w:val="5"/>
        </w:numPr>
        <w:spacing w:before="156" w:beforeLines="50" w:line="360" w:lineRule="auto"/>
        <w:ind w:left="420" w:firstLine="480" w:firstLineChars="200"/>
        <w:rPr>
          <w:rFonts w:ascii="Times New Roman" w:hAnsi="Times New Roman" w:cs="Times New Roman"/>
          <w:sz w:val="24"/>
        </w:rPr>
      </w:pPr>
      <w:r>
        <w:rPr>
          <w:rFonts w:ascii="Times New Roman" w:hAnsi="Times New Roman" w:cs="Times New Roman"/>
          <w:sz w:val="24"/>
        </w:rPr>
        <w:t>Investigational agents other than Cadonilimab</w:t>
      </w:r>
    </w:p>
    <w:p w14:paraId="75AEF05F">
      <w:pPr>
        <w:numPr>
          <w:ilvl w:val="0"/>
          <w:numId w:val="5"/>
        </w:numPr>
        <w:spacing w:before="156" w:beforeLines="50" w:line="360" w:lineRule="auto"/>
        <w:ind w:left="420" w:firstLine="480" w:firstLineChars="200"/>
        <w:rPr>
          <w:rFonts w:ascii="Times New Roman" w:hAnsi="Times New Roman" w:cs="Times New Roman"/>
          <w:sz w:val="24"/>
        </w:rPr>
      </w:pPr>
      <w:r>
        <w:rPr>
          <w:rFonts w:ascii="Times New Roman" w:hAnsi="Times New Roman" w:cs="Times New Roman"/>
          <w:sz w:val="24"/>
        </w:rPr>
        <w:t>Live vaccines within 30 days prior to the first dose of study treatment and while participating in the study. Examples of live vaccines include, but are not limited to, the following: measles, mumps, rubella, varicella/zoster, yellow fever, rabies, Bacille Calmette-Guérin (BCG), and typhoid vaccine. Seasonal influenza vaccines for injection are generally killed virus vaccines and are allowed; however, intranasal influenza vaccines (e.g., FluMist®) are live attenuated vaccines and are not allowed.</w:t>
      </w:r>
    </w:p>
    <w:p w14:paraId="027453BE">
      <w:pPr>
        <w:numPr>
          <w:ilvl w:val="0"/>
          <w:numId w:val="5"/>
        </w:numPr>
        <w:spacing w:before="156" w:beforeLines="50" w:line="360" w:lineRule="auto"/>
        <w:ind w:left="420" w:firstLine="480" w:firstLineChars="200"/>
        <w:rPr>
          <w:rFonts w:ascii="Times New Roman" w:hAnsi="Times New Roman" w:cs="Times New Roman"/>
          <w:sz w:val="24"/>
        </w:rPr>
      </w:pPr>
      <w:r>
        <w:rPr>
          <w:rFonts w:ascii="Times New Roman" w:hAnsi="Times New Roman" w:cs="Times New Roman"/>
          <w:sz w:val="24"/>
        </w:rPr>
        <w:t>Systemic glucocorticoids for any purpose other than to modulate symptoms from an event of clinical interest of suspected immunologic etiology. The use of physiologic doses of corticosteroids may be approved after consultation with the Sponsor.</w:t>
      </w:r>
    </w:p>
    <w:p w14:paraId="5405CDEA">
      <w:pPr>
        <w:numPr>
          <w:ilvl w:val="0"/>
          <w:numId w:val="5"/>
        </w:numPr>
        <w:spacing w:before="156" w:beforeLines="50" w:line="360" w:lineRule="auto"/>
        <w:ind w:left="420" w:firstLine="480" w:firstLineChars="200"/>
        <w:rPr>
          <w:rFonts w:ascii="Times New Roman" w:hAnsi="Times New Roman" w:cs="Times New Roman"/>
          <w:sz w:val="24"/>
        </w:rPr>
      </w:pPr>
      <w:r>
        <w:rPr>
          <w:rFonts w:ascii="Times New Roman" w:hAnsi="Times New Roman" w:cs="Times New Roman"/>
          <w:sz w:val="24"/>
        </w:rPr>
        <w:t xml:space="preserve">Participants who, in the assessment by the investigator, require the use of any of the aforementioned treatments for clinical management should be removed from the study. All treatments that the </w:t>
      </w:r>
      <w:r>
        <w:rPr>
          <w:rFonts w:hint="eastAsia" w:ascii="Times New Roman" w:hAnsi="Times New Roman" w:cs="Times New Roman"/>
          <w:sz w:val="24"/>
        </w:rPr>
        <w:t>i</w:t>
      </w:r>
      <w:r>
        <w:rPr>
          <w:rFonts w:ascii="Times New Roman" w:hAnsi="Times New Roman" w:cs="Times New Roman"/>
          <w:sz w:val="24"/>
        </w:rPr>
        <w:t>nvestigator considers necessary for a participant's welfare may be administered at the discretion of the Investigator in keeping with the community standards of medical care. Medications or vaccinations specifically prohibited in the exclusion criteria are not allowed during the ongoing study. If there is a clinical indication for any medication or vaccination specifically prohibited during the study, discontinuation from study therapy or vaccination may be required. The final decision on any supportive therapy or vaccination rests with the investigator and/or the participant's primary physician. However, the decision to continue the participant on study treatment requires the agreement of the investigator, the Sponsor and the participant. There are no prohibited therapies during the Post-Treatment Follow-up Phase.</w:t>
      </w:r>
    </w:p>
    <w:p w14:paraId="40A22B0D">
      <w:pPr>
        <w:pStyle w:val="4"/>
        <w:spacing w:line="360" w:lineRule="auto"/>
        <w:ind w:firstLineChars="200"/>
        <w:rPr>
          <w:rFonts w:hint="default" w:ascii="Times New Roman" w:hAnsi="Times New Roman"/>
        </w:rPr>
      </w:pPr>
      <w:bookmarkStart w:id="86" w:name="_Toc404284715"/>
      <w:r>
        <w:rPr>
          <w:rFonts w:hint="default" w:ascii="Times New Roman" w:hAnsi="Times New Roman"/>
        </w:rPr>
        <w:t>9.4.3 Excluded concomitant therapy</w:t>
      </w:r>
      <w:bookmarkEnd w:id="86"/>
    </w:p>
    <w:p w14:paraId="7A15FD5B">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Any concomitant therapy intended for the treatment of cancer, whether health authority-approved or experimental, is prohibited. This includes but is not limited to chemotherapy, hormonal therapy, immunotherapy, radiotherapy, investigational agents, or herbal therapy. It is strongly recommended that traditional herbal medicines not be administered because the ingredients of many herbal medicines are not fully studied and their use may result in unanticipated drug-drug interactions that may cause, or confound assessment of, toxicity.</w:t>
      </w:r>
    </w:p>
    <w:p w14:paraId="70FAAD02">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Patients are not allowed to receive immunostimulatory agents, including but not limited to Interferon-alpha (IFN-α), Interferon-gamma (IFN-γ), or IL-2, during the entire study. These agents, in combination with Cadonilimab, could potentially increase the risk for autoimmune conditions.</w:t>
      </w:r>
    </w:p>
    <w:p w14:paraId="081E71D4">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 xml:space="preserve">Patients should also not be receiving immunosuppressive medications, including but not limited to cyclophosphamide, azathioprine, methotrexate, and thalidomide. These agents could potentially alter the activity and the safety of Cadonilimab. Systemic corticosteroids and anti-TNFα agents may attenuate potential beneficial immunologic effects of treatment with </w:t>
      </w:r>
      <w:r>
        <w:rPr>
          <w:rFonts w:ascii="Times New Roman" w:hAnsi="Times New Roman" w:cs="Times New Roman"/>
          <w:sz w:val="24"/>
          <w:lang w:val="en-US"/>
        </w:rPr>
        <w:t>Cadonilimab</w:t>
      </w:r>
      <w:r>
        <w:rPr>
          <w:rFonts w:ascii="Times New Roman" w:hAnsi="Times New Roman" w:cs="Times New Roman"/>
          <w:sz w:val="24"/>
        </w:rPr>
        <w:t xml:space="preserve"> but may be administered at the discretion of the treating physician. If feasible, alternatives to these agents should be considered.</w:t>
      </w:r>
    </w:p>
    <w:p w14:paraId="147CD415">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In addition, all patients (including those who discontinue the study early) should not receive other immunostimulatory agents for 10 weeks after the last dose of Cadonilimab.</w:t>
      </w:r>
    </w:p>
    <w:p w14:paraId="1B6BC2AC">
      <w:pPr>
        <w:pStyle w:val="2"/>
        <w:spacing w:line="360" w:lineRule="auto"/>
        <w:ind w:firstLineChars="200"/>
        <w:rPr>
          <w:rFonts w:ascii="Times New Roman" w:hAnsi="Times New Roman" w:cs="Times New Roman"/>
        </w:rPr>
      </w:pPr>
      <w:bookmarkStart w:id="87" w:name="_Toc174945897"/>
      <w:bookmarkStart w:id="88" w:name="_Toc943692652"/>
      <w:r>
        <w:rPr>
          <w:rFonts w:ascii="Times New Roman" w:hAnsi="Times New Roman" w:cs="Times New Roman"/>
        </w:rPr>
        <w:t>10 Dose and Treatment Modifications</w:t>
      </w:r>
      <w:bookmarkEnd w:id="87"/>
      <w:bookmarkEnd w:id="88"/>
    </w:p>
    <w:p w14:paraId="19D62833">
      <w:pPr>
        <w:pStyle w:val="13"/>
        <w:widowControl/>
        <w:spacing w:before="320" w:beforeAutospacing="0" w:after="320" w:afterAutospacing="0" w:line="360" w:lineRule="auto"/>
        <w:ind w:firstLine="480" w:firstLineChars="200"/>
        <w:rPr>
          <w:rFonts w:ascii="Times New Roman" w:hAnsi="Times New Roman" w:eastAsia="Helvetica Neue"/>
          <w:color w:val="0F1115"/>
        </w:rPr>
      </w:pPr>
      <w:r>
        <w:rPr>
          <w:rFonts w:ascii="Times New Roman" w:hAnsi="Times New Roman" w:eastAsia="Helvetica Neue"/>
          <w:color w:val="0F1115"/>
        </w:rPr>
        <w:t>Toxicity events may be attributed to Cadonilimab, individual chemotherapy agents, radiotherapy, or to the combination of any of these treatments. Dose modifications due to toxicity events must be based on the maximum toxicity experienced during a treatment cycle. Safety will be evaluated in this study through the monitoring of all serious and non-serious AEs, defined and graded according to National Cancer Institute Common Terminology Criteria for Adverse Events (NCI-CTCAE) v5.0. Patients will be assessed for safety (including laboratory values) according to the schedule in Protocol Section 8. Patients will be followed for safety for 90 days following the last dose of study treatment or until receipt of another anticancer therapy, whichever comes first.</w:t>
      </w:r>
    </w:p>
    <w:p w14:paraId="795FDDA4">
      <w:pPr>
        <w:pStyle w:val="13"/>
        <w:widowControl/>
        <w:spacing w:before="320" w:beforeAutospacing="0" w:after="320" w:afterAutospacing="0" w:line="360" w:lineRule="auto"/>
        <w:ind w:firstLine="480" w:firstLineChars="200"/>
        <w:rPr>
          <w:rFonts w:ascii="Times New Roman" w:hAnsi="Times New Roman" w:eastAsia="Helvetica Neue"/>
          <w:color w:val="0F1115"/>
        </w:rPr>
      </w:pPr>
      <w:r>
        <w:rPr>
          <w:rFonts w:ascii="Times New Roman" w:hAnsi="Times New Roman" w:eastAsia="Helvetica Neue"/>
          <w:color w:val="0F1115"/>
        </w:rPr>
        <w:t>General safety assessments will include serial interval histories, physical examinations, and specific laboratory studies, including serum chemistries and blood counts (see Protocol Section 8 for the list and timing of study assessments). All SAEs and protocol-defined events of special interest will be reported in an expedited fashion (see Section 13). In addition, the investigators will review and evaluate observed AEs on a regular basis. Patients who have an ongoing study treatment related AE upon study completion or at discontinuation from the study will be followed until the event has resolved to baseline grade, the event is assessed by the investigator as stable, new anticancer treatment is initiated, the patient is lost to follow-up, the patient withdraws consent, or until it has been determined that study treatment or participation is not the cause of the AE.</w:t>
      </w:r>
    </w:p>
    <w:p w14:paraId="5319849C">
      <w:pPr>
        <w:pStyle w:val="4"/>
        <w:spacing w:line="360" w:lineRule="auto"/>
        <w:ind w:firstLineChars="200"/>
        <w:rPr>
          <w:rFonts w:hint="default" w:ascii="Times New Roman" w:hAnsi="Times New Roman"/>
        </w:rPr>
      </w:pPr>
      <w:bookmarkStart w:id="89" w:name="_Toc410578136"/>
      <w:r>
        <w:rPr>
          <w:rFonts w:hint="default" w:ascii="Times New Roman" w:hAnsi="Times New Roman"/>
        </w:rPr>
        <w:t>10.1 Immun</w:t>
      </w:r>
      <w:r>
        <w:rPr>
          <w:rFonts w:ascii="Times New Roman" w:hAnsi="Times New Roman"/>
        </w:rPr>
        <w:t>o</w:t>
      </w:r>
      <w:r>
        <w:rPr>
          <w:rFonts w:hint="default" w:ascii="Times New Roman" w:hAnsi="Times New Roman"/>
        </w:rPr>
        <w:t>therapy Dose Modifications</w:t>
      </w:r>
      <w:bookmarkEnd w:id="89"/>
    </w:p>
    <w:p w14:paraId="7D6A0DC0">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 xml:space="preserve">Toxicities associated or possibly associated with </w:t>
      </w:r>
      <w:r>
        <w:rPr>
          <w:rFonts w:ascii="Times New Roman" w:hAnsi="Times New Roman" w:cs="Times New Roman"/>
          <w:sz w:val="24"/>
          <w:lang w:val="en-US"/>
        </w:rPr>
        <w:t>Cadonilimab</w:t>
      </w:r>
      <w:r>
        <w:rPr>
          <w:rFonts w:ascii="Times New Roman" w:hAnsi="Times New Roman" w:cs="Times New Roman"/>
          <w:sz w:val="24"/>
        </w:rPr>
        <w:t xml:space="preserve"> treatment should be managed according to standard medical practice. Additional tests, such as autoimmune serology or biopsies, may be used to determine a possible immunogenic etiology. Although most Immune-Related Adverse Events (irAEs) observed with immunomodulatory agents have been mild and self-limiting, such events should be recognized early and treated promptly to avoid potential major complications. Discontinuation of </w:t>
      </w:r>
      <w:r>
        <w:rPr>
          <w:rFonts w:ascii="Times New Roman" w:hAnsi="Times New Roman" w:cs="Times New Roman"/>
          <w:sz w:val="24"/>
          <w:lang w:val="en-US"/>
        </w:rPr>
        <w:t>Cadonilimab</w:t>
      </w:r>
      <w:r>
        <w:rPr>
          <w:rFonts w:ascii="Times New Roman" w:hAnsi="Times New Roman" w:cs="Times New Roman"/>
          <w:sz w:val="24"/>
        </w:rPr>
        <w:t xml:space="preserve"> may not have an immediate therapeutic effect and, in severe cases, immune-related toxicities may require acute management with topical corticosteroids, systemic corticosteroids, mycophenolate, or TNFα inhibitors.</w:t>
      </w:r>
    </w:p>
    <w:p w14:paraId="76B74ABA">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 xml:space="preserve">The primary approach to Grade 1 to 2 irAEs is supportive and symptomatic care with continued treatment with Cadonilimab; for higher-grade irAEs, </w:t>
      </w:r>
      <w:r>
        <w:rPr>
          <w:rFonts w:ascii="Times New Roman" w:hAnsi="Times New Roman" w:cs="Times New Roman"/>
          <w:sz w:val="24"/>
          <w:lang w:val="en-US"/>
        </w:rPr>
        <w:t>Cadonilimab</w:t>
      </w:r>
      <w:r>
        <w:rPr>
          <w:rFonts w:ascii="Times New Roman" w:hAnsi="Times New Roman" w:cs="Times New Roman"/>
          <w:sz w:val="24"/>
        </w:rPr>
        <w:t xml:space="preserve"> should be withheld and oral and/or parenteral steroids administered. Recurrent Grade 2 irAEs may also mandate withholding </w:t>
      </w:r>
      <w:r>
        <w:rPr>
          <w:rFonts w:ascii="Times New Roman" w:hAnsi="Times New Roman" w:cs="Times New Roman"/>
          <w:sz w:val="24"/>
          <w:lang w:val="en-US"/>
        </w:rPr>
        <w:t>Cadonilimab</w:t>
      </w:r>
      <w:r>
        <w:rPr>
          <w:rFonts w:ascii="Times New Roman" w:hAnsi="Times New Roman" w:cs="Times New Roman"/>
          <w:sz w:val="24"/>
        </w:rPr>
        <w:t xml:space="preserve"> or the use of steroids. Assessment of the benefit-risk balance should be made by the investigator, with consideration of the totality of information as it pertains to the nature of the toxicity and the degree of clinical benefit a given patient may be experiencing prior to further administration of Cadonilimab. Cadonilimab should be permanently discontinued in patients with life-threatening irAEs.</w:t>
      </w:r>
    </w:p>
    <w:p w14:paraId="7A0D76D4">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 xml:space="preserve">Cadonilimab treatment will be given as long as the patient continues to experience clinical benefit in the opinion of the investigator until the earlier of unacceptable toxicity, symptomatic deterioration attributed to disease progression, or any of the other reasons for treatment discontinuation listed in Section 11. There will be no dose reduction for </w:t>
      </w:r>
      <w:r>
        <w:rPr>
          <w:rFonts w:ascii="Times New Roman" w:hAnsi="Times New Roman" w:cs="Times New Roman"/>
          <w:sz w:val="24"/>
          <w:lang w:val="en-US"/>
        </w:rPr>
        <w:t>Cadonilimab</w:t>
      </w:r>
      <w:r>
        <w:rPr>
          <w:rFonts w:ascii="Times New Roman" w:hAnsi="Times New Roman" w:cs="Times New Roman"/>
          <w:sz w:val="24"/>
        </w:rPr>
        <w:t xml:space="preserve"> in this study. Patients may temporarily suspend study treatment for up to 84 days beyond the scheduled date of delayed infusion if study drug-related toxicity requiring dose suspension is experienced. Dose holds do not affect dosing or assessment schedules. If </w:t>
      </w:r>
      <w:r>
        <w:rPr>
          <w:rFonts w:ascii="Times New Roman" w:hAnsi="Times New Roman" w:cs="Times New Roman"/>
          <w:sz w:val="24"/>
          <w:lang w:val="en-US"/>
        </w:rPr>
        <w:t>Cadonilimab</w:t>
      </w:r>
      <w:r>
        <w:rPr>
          <w:rFonts w:ascii="Times New Roman" w:hAnsi="Times New Roman" w:cs="Times New Roman"/>
          <w:sz w:val="24"/>
        </w:rPr>
        <w:t xml:space="preserve"> is held because of AEs for over 84 days beyond the scheduled date of infusion, the patient will be discontinued from Cadonilimab. In special circumstances, following discussion among investigators, consideration may be given to adjusting the </w:t>
      </w:r>
      <w:r>
        <w:rPr>
          <w:rFonts w:ascii="Times New Roman" w:hAnsi="Times New Roman" w:cs="Times New Roman"/>
          <w:sz w:val="24"/>
          <w:lang w:val="en-US"/>
        </w:rPr>
        <w:t>Cadonilimab</w:t>
      </w:r>
      <w:r>
        <w:rPr>
          <w:rFonts w:ascii="Times New Roman" w:hAnsi="Times New Roman" w:cs="Times New Roman"/>
          <w:sz w:val="24"/>
        </w:rPr>
        <w:t xml:space="preserve"> dosing interval to every 6 weeks.</w:t>
      </w:r>
    </w:p>
    <w:p w14:paraId="6E3097D2">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 xml:space="preserve">Any toxicities associated or possibly associated with </w:t>
      </w:r>
      <w:r>
        <w:rPr>
          <w:rFonts w:ascii="Times New Roman" w:hAnsi="Times New Roman" w:cs="Times New Roman"/>
          <w:sz w:val="24"/>
          <w:lang w:val="en-US"/>
        </w:rPr>
        <w:t>Cadonilimab</w:t>
      </w:r>
      <w:r>
        <w:rPr>
          <w:rFonts w:ascii="Times New Roman" w:hAnsi="Times New Roman" w:cs="Times New Roman"/>
          <w:sz w:val="24"/>
        </w:rPr>
        <w:t xml:space="preserve"> treatment should be managed according to standard medical practice. Additional tests, such as autoimmune serology or biopsies, may be used to determine a possible immunogenic etiology. Although most irAEs observed with immunomodulatory agents have been mild and self-limiting, such events should be recognized early and treated promptly to avoid potential major complications. Discontinuation of </w:t>
      </w:r>
      <w:r>
        <w:rPr>
          <w:rFonts w:ascii="Times New Roman" w:hAnsi="Times New Roman" w:cs="Times New Roman"/>
          <w:sz w:val="24"/>
          <w:lang w:val="en-US"/>
        </w:rPr>
        <w:t>Cadonilimab</w:t>
      </w:r>
      <w:r>
        <w:rPr>
          <w:rFonts w:ascii="Times New Roman" w:hAnsi="Times New Roman" w:cs="Times New Roman"/>
          <w:sz w:val="24"/>
        </w:rPr>
        <w:t xml:space="preserve"> may not have an immediate therapeutic effect, and there is no available antidote for Cadonilimab. In severe cases, immune-related toxicities may be acutely managed with topical corticosteroids, systemic corticosteroids, mycophenolate, or TNFα inhibitors.</w:t>
      </w:r>
    </w:p>
    <w:p w14:paraId="685EB5FD">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 xml:space="preserve">Patients should be assessed clinically (including review of laboratory values) for toxicity prior to, during, and after each infusion. If unmanageable toxicity due to </w:t>
      </w:r>
      <w:r>
        <w:rPr>
          <w:rFonts w:ascii="Times New Roman" w:hAnsi="Times New Roman" w:cs="Times New Roman"/>
          <w:sz w:val="24"/>
          <w:lang w:val="en-US"/>
        </w:rPr>
        <w:t>Cadonilimab</w:t>
      </w:r>
      <w:r>
        <w:rPr>
          <w:rFonts w:ascii="Times New Roman" w:hAnsi="Times New Roman" w:cs="Times New Roman"/>
          <w:sz w:val="24"/>
        </w:rPr>
        <w:t xml:space="preserve"> occurs at any time during the study, treatment with </w:t>
      </w:r>
      <w:r>
        <w:rPr>
          <w:rFonts w:ascii="Times New Roman" w:hAnsi="Times New Roman" w:cs="Times New Roman"/>
          <w:sz w:val="24"/>
          <w:lang w:val="en-US"/>
        </w:rPr>
        <w:t>Cadonilimab</w:t>
      </w:r>
      <w:r>
        <w:rPr>
          <w:rFonts w:ascii="Times New Roman" w:hAnsi="Times New Roman" w:cs="Times New Roman"/>
          <w:sz w:val="24"/>
        </w:rPr>
        <w:t xml:space="preserve"> should be discontinued.</w:t>
      </w:r>
    </w:p>
    <w:p w14:paraId="5E052919">
      <w:pPr>
        <w:pStyle w:val="4"/>
        <w:spacing w:line="360" w:lineRule="auto"/>
        <w:ind w:firstLineChars="200"/>
        <w:rPr>
          <w:rFonts w:hint="default" w:ascii="Times New Roman" w:hAnsi="Times New Roman"/>
        </w:rPr>
      </w:pPr>
      <w:bookmarkStart w:id="90" w:name="_Toc721773941"/>
      <w:r>
        <w:rPr>
          <w:rFonts w:hint="default" w:ascii="Times New Roman" w:hAnsi="Times New Roman"/>
        </w:rPr>
        <w:t>10.2 Chemotherapy Dose Modifications</w:t>
      </w:r>
      <w:bookmarkEnd w:id="90"/>
    </w:p>
    <w:p w14:paraId="26EB1BC4">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If the investigator deems that the toxicity is clearly related to one of the treatments, it is appropriate to reduce one chemotherapy agent without reducing the other. If the investigator considers that the toxicity is related to the combination of two chemotherapy agents, the doses of both agents should be reduced according to the recommended dose adjustments. For dose adjustments of relevant chemotherapy agents, please refer to the approved product labeling. In addition, since this study does not restrict the age of enrolled patients, investigators may adjust the chemotherapy dose at their discretion according to the patient's condition.</w:t>
      </w:r>
    </w:p>
    <w:p w14:paraId="14F12228">
      <w:pPr>
        <w:pStyle w:val="4"/>
        <w:spacing w:line="360" w:lineRule="auto"/>
        <w:ind w:firstLineChars="200"/>
        <w:rPr>
          <w:rFonts w:hint="default" w:ascii="Times New Roman" w:hAnsi="Times New Roman"/>
        </w:rPr>
      </w:pPr>
      <w:bookmarkStart w:id="91" w:name="_Toc1866988131"/>
      <w:r>
        <w:rPr>
          <w:rFonts w:hint="default" w:ascii="Times New Roman" w:hAnsi="Times New Roman"/>
        </w:rPr>
        <w:t>10.3 Radiotherapy Dose Modification</w:t>
      </w:r>
      <w:bookmarkEnd w:id="91"/>
    </w:p>
    <w:p w14:paraId="37215580">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Radiotherapy may be interrupted or discontinued due to toxicity. Radiotherapy may be interrupted for a maximum of 3 weeks during Cycles 2 to 3.</w:t>
      </w:r>
    </w:p>
    <w:p w14:paraId="0B64BE82">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Every effort must be made to continue the radiotherapy during the concurrent phase in an uninterrupted manner. Should a patient develop severe esophagitis necessitating interruption of chemotherapy, the radiotherapy may continue, provided the investigator believes supportive care will enable the patient to complete this part of the therapy without excess risk.</w:t>
      </w:r>
    </w:p>
    <w:p w14:paraId="10EAF918">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On days when radiotherapy and/or chemotherapy are delayed for administrative reasons (eg, holidays or weather), this will not be considered a protocol violation, provided the full planned dose of radiotherapy is administered.</w:t>
      </w:r>
    </w:p>
    <w:p w14:paraId="59675FAB">
      <w:pPr>
        <w:pStyle w:val="2"/>
        <w:spacing w:line="360" w:lineRule="auto"/>
        <w:ind w:firstLineChars="200"/>
        <w:rPr>
          <w:rFonts w:ascii="Times New Roman" w:hAnsi="Times New Roman" w:cs="Times New Roman"/>
        </w:rPr>
      </w:pPr>
      <w:bookmarkStart w:id="92" w:name="_Toc1475669069"/>
      <w:bookmarkStart w:id="93" w:name="_Toc1585951400"/>
      <w:r>
        <w:rPr>
          <w:rFonts w:ascii="Times New Roman" w:hAnsi="Times New Roman" w:cs="Times New Roman"/>
        </w:rPr>
        <w:t>11 End of Treatment and Follow-up</w:t>
      </w:r>
      <w:bookmarkEnd w:id="92"/>
      <w:bookmarkEnd w:id="93"/>
    </w:p>
    <w:p w14:paraId="0B124E88">
      <w:pPr>
        <w:pStyle w:val="4"/>
        <w:spacing w:line="360" w:lineRule="auto"/>
        <w:ind w:firstLineChars="200"/>
        <w:rPr>
          <w:rFonts w:hint="default" w:ascii="Times New Roman" w:hAnsi="Times New Roman"/>
        </w:rPr>
      </w:pPr>
      <w:bookmarkStart w:id="94" w:name="_Toc518153236"/>
      <w:r>
        <w:rPr>
          <w:rFonts w:hint="default" w:ascii="Times New Roman" w:hAnsi="Times New Roman"/>
        </w:rPr>
        <w:t>11.1 Discontinuation of Study Treatment</w:t>
      </w:r>
      <w:bookmarkEnd w:id="94"/>
    </w:p>
    <w:p w14:paraId="501F9F46">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 xml:space="preserve">Participants may discontinue study treatment at any time for any reason or be discontinued from the study treatment at the discretion of the investigator should any untoward effect occur. In addition, a participant may be discontinued from study treatment by the investigator or the Sponsor if study treatment is inappropriate, the study plan is violated, or for administrative and/or other safety reasons. </w:t>
      </w:r>
    </w:p>
    <w:p w14:paraId="061C22CD">
      <w:pPr>
        <w:pStyle w:val="13"/>
        <w:widowControl/>
        <w:spacing w:beforeAutospacing="0" w:afterAutospacing="0" w:line="360" w:lineRule="auto"/>
        <w:ind w:firstLine="480" w:firstLineChars="200"/>
        <w:rPr>
          <w:rFonts w:ascii="Times New Roman" w:hAnsi="Times New Roman"/>
        </w:rPr>
      </w:pPr>
      <w:r>
        <w:rPr>
          <w:rFonts w:ascii="Times New Roman" w:hAnsi="Times New Roman"/>
        </w:rPr>
        <w:t xml:space="preserve">Possible reasons for discontinuation include, but are not limited to: </w:t>
      </w:r>
    </w:p>
    <w:p w14:paraId="0FCA1993">
      <w:pPr>
        <w:pStyle w:val="13"/>
        <w:widowControl/>
        <w:numPr>
          <w:ilvl w:val="0"/>
          <w:numId w:val="6"/>
        </w:numPr>
        <w:tabs>
          <w:tab w:val="clear" w:pos="840"/>
        </w:tabs>
        <w:spacing w:beforeAutospacing="0" w:afterAutospacing="0" w:line="360" w:lineRule="auto"/>
        <w:ind w:left="1265" w:firstLine="480" w:firstLineChars="200"/>
        <w:rPr>
          <w:rFonts w:ascii="Times New Roman" w:hAnsi="Times New Roman"/>
        </w:rPr>
      </w:pPr>
      <w:r>
        <w:rPr>
          <w:rFonts w:ascii="Times New Roman" w:hAnsi="Times New Roman"/>
        </w:rPr>
        <w:t xml:space="preserve">Disease progression per the RECIST v1.1 criteria; </w:t>
      </w:r>
    </w:p>
    <w:p w14:paraId="6F43C5AE">
      <w:pPr>
        <w:pStyle w:val="13"/>
        <w:widowControl/>
        <w:numPr>
          <w:ilvl w:val="0"/>
          <w:numId w:val="6"/>
        </w:numPr>
        <w:tabs>
          <w:tab w:val="clear" w:pos="840"/>
        </w:tabs>
        <w:spacing w:beforeAutospacing="0" w:afterAutospacing="0" w:line="360" w:lineRule="auto"/>
        <w:ind w:left="1265" w:firstLine="480" w:firstLineChars="200"/>
        <w:rPr>
          <w:rFonts w:ascii="Times New Roman" w:hAnsi="Times New Roman"/>
        </w:rPr>
      </w:pPr>
      <w:r>
        <w:rPr>
          <w:rFonts w:ascii="Times New Roman" w:hAnsi="Times New Roman"/>
        </w:rPr>
        <w:t xml:space="preserve">Pregnancy; </w:t>
      </w:r>
    </w:p>
    <w:p w14:paraId="363504B6">
      <w:pPr>
        <w:pStyle w:val="13"/>
        <w:widowControl/>
        <w:numPr>
          <w:ilvl w:val="0"/>
          <w:numId w:val="6"/>
        </w:numPr>
        <w:tabs>
          <w:tab w:val="clear" w:pos="840"/>
        </w:tabs>
        <w:spacing w:beforeAutospacing="0" w:afterAutospacing="0" w:line="360" w:lineRule="auto"/>
        <w:ind w:left="1265" w:firstLine="480" w:firstLineChars="200"/>
        <w:rPr>
          <w:rFonts w:ascii="Times New Roman" w:hAnsi="Times New Roman"/>
        </w:rPr>
      </w:pPr>
      <w:r>
        <w:rPr>
          <w:rFonts w:ascii="Times New Roman" w:hAnsi="Times New Roman"/>
        </w:rPr>
        <w:t>Investigator determination that continued treatment may compromise patient safety;</w:t>
      </w:r>
    </w:p>
    <w:p w14:paraId="3E85582E">
      <w:pPr>
        <w:pStyle w:val="13"/>
        <w:widowControl/>
        <w:numPr>
          <w:ilvl w:val="0"/>
          <w:numId w:val="6"/>
        </w:numPr>
        <w:tabs>
          <w:tab w:val="clear" w:pos="840"/>
        </w:tabs>
        <w:spacing w:beforeAutospacing="0" w:afterAutospacing="0" w:line="360" w:lineRule="auto"/>
        <w:ind w:left="1265" w:firstLine="480" w:firstLineChars="200"/>
        <w:rPr>
          <w:rFonts w:ascii="Times New Roman" w:hAnsi="Times New Roman"/>
        </w:rPr>
      </w:pPr>
      <w:r>
        <w:rPr>
          <w:rFonts w:ascii="Times New Roman" w:hAnsi="Times New Roman"/>
        </w:rPr>
        <w:t xml:space="preserve">Use of prohibited concomitant medications (see Section 9); Noncompliance with study treatment; </w:t>
      </w:r>
    </w:p>
    <w:p w14:paraId="718E93EF">
      <w:pPr>
        <w:pStyle w:val="13"/>
        <w:widowControl/>
        <w:numPr>
          <w:ilvl w:val="0"/>
          <w:numId w:val="6"/>
        </w:numPr>
        <w:tabs>
          <w:tab w:val="clear" w:pos="840"/>
        </w:tabs>
        <w:spacing w:beforeAutospacing="0" w:afterAutospacing="0" w:line="360" w:lineRule="auto"/>
        <w:ind w:left="1265" w:firstLine="480" w:firstLineChars="200"/>
        <w:rPr>
          <w:rFonts w:ascii="Times New Roman" w:hAnsi="Times New Roman"/>
        </w:rPr>
      </w:pPr>
      <w:r>
        <w:rPr>
          <w:rFonts w:ascii="Times New Roman" w:hAnsi="Times New Roman"/>
        </w:rPr>
        <w:t>Withdrawal of consent;</w:t>
      </w:r>
    </w:p>
    <w:p w14:paraId="015ACD8D">
      <w:pPr>
        <w:pStyle w:val="13"/>
        <w:widowControl/>
        <w:numPr>
          <w:ilvl w:val="0"/>
          <w:numId w:val="6"/>
        </w:numPr>
        <w:tabs>
          <w:tab w:val="clear" w:pos="840"/>
        </w:tabs>
        <w:spacing w:beforeAutospacing="0" w:afterAutospacing="0" w:line="360" w:lineRule="auto"/>
        <w:ind w:left="1265" w:firstLine="480" w:firstLineChars="200"/>
        <w:rPr>
          <w:rFonts w:ascii="Times New Roman" w:hAnsi="Times New Roman"/>
        </w:rPr>
      </w:pPr>
      <w:r>
        <w:rPr>
          <w:rFonts w:ascii="Times New Roman" w:hAnsi="Times New Roman"/>
        </w:rPr>
        <w:t xml:space="preserve">Death; </w:t>
      </w:r>
    </w:p>
    <w:p w14:paraId="60EA57D5">
      <w:pPr>
        <w:pStyle w:val="13"/>
        <w:widowControl/>
        <w:numPr>
          <w:ilvl w:val="0"/>
          <w:numId w:val="6"/>
        </w:numPr>
        <w:tabs>
          <w:tab w:val="clear" w:pos="840"/>
        </w:tabs>
        <w:spacing w:beforeAutospacing="0" w:afterAutospacing="0" w:line="360" w:lineRule="auto"/>
        <w:ind w:left="1265" w:firstLine="480" w:firstLineChars="200"/>
        <w:rPr>
          <w:rFonts w:ascii="Times New Roman" w:hAnsi="Times New Roman"/>
        </w:rPr>
      </w:pPr>
      <w:r>
        <w:rPr>
          <w:rFonts w:ascii="Times New Roman" w:hAnsi="Times New Roman"/>
        </w:rPr>
        <w:t>Loss to follow-up;</w:t>
      </w:r>
    </w:p>
    <w:p w14:paraId="32DAF071">
      <w:pPr>
        <w:pStyle w:val="13"/>
        <w:widowControl/>
        <w:numPr>
          <w:ilvl w:val="0"/>
          <w:numId w:val="6"/>
        </w:numPr>
        <w:tabs>
          <w:tab w:val="clear" w:pos="840"/>
        </w:tabs>
        <w:spacing w:beforeAutospacing="0" w:afterAutospacing="0" w:line="360" w:lineRule="auto"/>
        <w:ind w:left="1265" w:firstLine="480" w:firstLineChars="200"/>
        <w:rPr>
          <w:rFonts w:ascii="Times New Roman" w:hAnsi="Times New Roman"/>
        </w:rPr>
      </w:pPr>
      <w:r>
        <w:rPr>
          <w:rFonts w:ascii="Times New Roman" w:hAnsi="Times New Roman"/>
        </w:rPr>
        <w:t>Completion of all study assessments.</w:t>
      </w:r>
    </w:p>
    <w:p w14:paraId="598F17E2">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Discontinuation of study treatment does not represent withdrawal from the study. As certain data on clinical events beyond study treatment discontinuation may be important to the study, they must be collected through the participant’s last scheduled follow-up, even if the participant has discontinued study treatment. Therefore, all participants who discontinue study treatment prior to completion of the protocol-specified treatment period will still continue to participate.</w:t>
      </w:r>
    </w:p>
    <w:p w14:paraId="4F2EB47F">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A participant must be discontinued from study treatment but continue to be monitored in the study for any of the following reasons:</w:t>
      </w:r>
    </w:p>
    <w:p w14:paraId="6597C9AF">
      <w:pPr>
        <w:numPr>
          <w:ilvl w:val="0"/>
          <w:numId w:val="7"/>
        </w:numPr>
        <w:spacing w:before="156" w:beforeLines="50" w:line="360" w:lineRule="auto"/>
        <w:ind w:left="1260" w:firstLine="480" w:firstLineChars="200"/>
        <w:rPr>
          <w:rFonts w:ascii="Times New Roman" w:hAnsi="Times New Roman" w:cs="Times New Roman"/>
          <w:sz w:val="24"/>
        </w:rPr>
      </w:pPr>
      <w:r>
        <w:rPr>
          <w:rFonts w:ascii="Times New Roman" w:hAnsi="Times New Roman" w:cs="Times New Roman"/>
          <w:sz w:val="24"/>
        </w:rPr>
        <w:t>The participant or participant’s legally acceptable representative requests to discontinue study treatment.</w:t>
      </w:r>
    </w:p>
    <w:p w14:paraId="71D77CEF">
      <w:pPr>
        <w:numPr>
          <w:ilvl w:val="0"/>
          <w:numId w:val="7"/>
        </w:numPr>
        <w:spacing w:before="156" w:beforeLines="50" w:line="360" w:lineRule="auto"/>
        <w:ind w:left="1260" w:firstLine="480" w:firstLineChars="200"/>
        <w:rPr>
          <w:rFonts w:ascii="Times New Roman" w:hAnsi="Times New Roman" w:cs="Times New Roman"/>
          <w:sz w:val="24"/>
        </w:rPr>
      </w:pPr>
      <w:r>
        <w:rPr>
          <w:rFonts w:ascii="Times New Roman" w:hAnsi="Times New Roman" w:cs="Times New Roman"/>
          <w:sz w:val="24"/>
        </w:rPr>
        <w:t>Confirmed radiographic disease progression.</w:t>
      </w:r>
    </w:p>
    <w:p w14:paraId="27033CA1">
      <w:pPr>
        <w:numPr>
          <w:ilvl w:val="0"/>
          <w:numId w:val="7"/>
        </w:numPr>
        <w:spacing w:before="156" w:beforeLines="50" w:line="360" w:lineRule="auto"/>
        <w:ind w:left="1260" w:firstLine="480" w:firstLineChars="200"/>
        <w:rPr>
          <w:rFonts w:ascii="Times New Roman" w:hAnsi="Times New Roman" w:cs="Times New Roman"/>
          <w:sz w:val="24"/>
        </w:rPr>
      </w:pPr>
      <w:r>
        <w:rPr>
          <w:rFonts w:ascii="Times New Roman" w:hAnsi="Times New Roman" w:cs="Times New Roman"/>
          <w:sz w:val="24"/>
        </w:rPr>
        <w:t>Any progression or recurrence of any malignancy, or any occurrence of another malignancy that requires active treatment.</w:t>
      </w:r>
    </w:p>
    <w:p w14:paraId="6FA81286">
      <w:pPr>
        <w:numPr>
          <w:ilvl w:val="0"/>
          <w:numId w:val="7"/>
        </w:numPr>
        <w:spacing w:before="156" w:beforeLines="50" w:line="360" w:lineRule="auto"/>
        <w:ind w:left="1260" w:firstLine="480" w:firstLineChars="200"/>
        <w:rPr>
          <w:rFonts w:ascii="Times New Roman" w:hAnsi="Times New Roman" w:cs="Times New Roman"/>
          <w:sz w:val="24"/>
        </w:rPr>
      </w:pPr>
      <w:r>
        <w:rPr>
          <w:rFonts w:ascii="Times New Roman" w:hAnsi="Times New Roman" w:cs="Times New Roman"/>
          <w:sz w:val="24"/>
        </w:rPr>
        <w:t>Intercurrent illness other than another malignancy as noted above that prevents further administration of treatment.</w:t>
      </w:r>
    </w:p>
    <w:p w14:paraId="2AF6FB38">
      <w:pPr>
        <w:numPr>
          <w:ilvl w:val="0"/>
          <w:numId w:val="7"/>
        </w:numPr>
        <w:spacing w:before="156" w:beforeLines="50" w:line="360" w:lineRule="auto"/>
        <w:ind w:left="1260" w:firstLine="480" w:firstLineChars="200"/>
        <w:rPr>
          <w:rFonts w:ascii="Times New Roman" w:hAnsi="Times New Roman" w:cs="Times New Roman"/>
          <w:sz w:val="24"/>
        </w:rPr>
      </w:pPr>
      <w:r>
        <w:rPr>
          <w:rFonts w:ascii="Times New Roman" w:hAnsi="Times New Roman" w:cs="Times New Roman"/>
          <w:sz w:val="24"/>
        </w:rPr>
        <w:t>Recurrent Grade 2 pneumonitis.</w:t>
      </w:r>
    </w:p>
    <w:p w14:paraId="60E2B60E">
      <w:pPr>
        <w:numPr>
          <w:ilvl w:val="0"/>
          <w:numId w:val="7"/>
        </w:numPr>
        <w:spacing w:before="156" w:beforeLines="50" w:line="360" w:lineRule="auto"/>
        <w:ind w:left="1260" w:firstLine="480" w:firstLineChars="200"/>
        <w:rPr>
          <w:rFonts w:ascii="Times New Roman" w:hAnsi="Times New Roman" w:cs="Times New Roman"/>
          <w:sz w:val="24"/>
        </w:rPr>
      </w:pPr>
      <w:r>
        <w:rPr>
          <w:rFonts w:ascii="Times New Roman" w:hAnsi="Times New Roman" w:cs="Times New Roman"/>
          <w:sz w:val="24"/>
        </w:rPr>
        <w:t>A confirmed positive serum pregnancy test.</w:t>
      </w:r>
    </w:p>
    <w:p w14:paraId="6446A384">
      <w:pPr>
        <w:numPr>
          <w:ilvl w:val="0"/>
          <w:numId w:val="7"/>
        </w:numPr>
        <w:spacing w:before="156" w:beforeLines="50" w:line="360" w:lineRule="auto"/>
        <w:ind w:left="1260" w:firstLine="480" w:firstLineChars="200"/>
        <w:rPr>
          <w:rFonts w:ascii="Times New Roman" w:hAnsi="Times New Roman" w:cs="Times New Roman"/>
          <w:sz w:val="24"/>
        </w:rPr>
      </w:pPr>
      <w:r>
        <w:rPr>
          <w:rFonts w:ascii="Times New Roman" w:hAnsi="Times New Roman" w:cs="Times New Roman"/>
          <w:sz w:val="24"/>
        </w:rPr>
        <w:t xml:space="preserve">Completion of all assigned times of treatments with </w:t>
      </w:r>
      <w:r>
        <w:rPr>
          <w:rFonts w:ascii="Times New Roman" w:hAnsi="Times New Roman" w:cs="Times New Roman"/>
          <w:sz w:val="24"/>
          <w:lang w:val="en-US"/>
        </w:rPr>
        <w:t>Cadonilimab</w:t>
      </w:r>
      <w:r>
        <w:rPr>
          <w:rFonts w:ascii="Times New Roman" w:hAnsi="Times New Roman" w:cs="Times New Roman"/>
          <w:sz w:val="24"/>
        </w:rPr>
        <w:t>.</w:t>
      </w:r>
    </w:p>
    <w:p w14:paraId="6D3DC42A">
      <w:pPr>
        <w:numPr>
          <w:ilvl w:val="0"/>
          <w:numId w:val="7"/>
        </w:numPr>
        <w:spacing w:before="156" w:beforeLines="50" w:line="360" w:lineRule="auto"/>
        <w:ind w:left="1260" w:firstLine="480" w:firstLineChars="200"/>
        <w:rPr>
          <w:rFonts w:ascii="Times New Roman" w:hAnsi="Times New Roman" w:cs="Times New Roman"/>
          <w:sz w:val="24"/>
        </w:rPr>
      </w:pPr>
      <w:r>
        <w:rPr>
          <w:rFonts w:ascii="Times New Roman" w:hAnsi="Times New Roman" w:cs="Times New Roman"/>
          <w:sz w:val="24"/>
        </w:rPr>
        <w:t>Investigator’s decision to discontinue the participant.</w:t>
      </w:r>
    </w:p>
    <w:p w14:paraId="5199D735">
      <w:pPr>
        <w:numPr>
          <w:ilvl w:val="0"/>
          <w:numId w:val="7"/>
        </w:numPr>
        <w:spacing w:before="156" w:beforeLines="50" w:line="360" w:lineRule="auto"/>
        <w:ind w:left="1260" w:firstLine="480" w:firstLineChars="200"/>
        <w:rPr>
          <w:rFonts w:ascii="Times New Roman" w:hAnsi="Times New Roman" w:cs="Times New Roman"/>
          <w:sz w:val="24"/>
        </w:rPr>
      </w:pPr>
      <w:r>
        <w:rPr>
          <w:rFonts w:ascii="Times New Roman" w:hAnsi="Times New Roman" w:cs="Times New Roman"/>
          <w:sz w:val="24"/>
        </w:rPr>
        <w:t>Use of prohibited medications.</w:t>
      </w:r>
    </w:p>
    <w:p w14:paraId="3D1383DD">
      <w:pPr>
        <w:numPr>
          <w:ilvl w:val="0"/>
          <w:numId w:val="7"/>
        </w:numPr>
        <w:spacing w:before="156" w:beforeLines="50" w:line="360" w:lineRule="auto"/>
        <w:ind w:left="1260" w:firstLine="480" w:firstLineChars="200"/>
        <w:rPr>
          <w:rFonts w:ascii="Times New Roman" w:hAnsi="Times New Roman" w:cs="Times New Roman"/>
          <w:sz w:val="24"/>
        </w:rPr>
      </w:pPr>
      <w:r>
        <w:rPr>
          <w:rFonts w:ascii="Times New Roman" w:hAnsi="Times New Roman" w:cs="Times New Roman"/>
          <w:sz w:val="24"/>
        </w:rPr>
        <w:t xml:space="preserve">The participant interrupts </w:t>
      </w:r>
      <w:r>
        <w:rPr>
          <w:rFonts w:ascii="Times New Roman" w:hAnsi="Times New Roman" w:cs="Times New Roman"/>
          <w:sz w:val="24"/>
          <w:lang w:val="en-US"/>
        </w:rPr>
        <w:t>Cadonilimab</w:t>
      </w:r>
      <w:r>
        <w:rPr>
          <w:rFonts w:ascii="Times New Roman" w:hAnsi="Times New Roman" w:cs="Times New Roman"/>
          <w:sz w:val="24"/>
        </w:rPr>
        <w:t xml:space="preserve"> administration for more than 12 consecutive weeks for an AE/toxicity or for more than 3 weeks for administrative reasons without consultation.</w:t>
      </w:r>
    </w:p>
    <w:p w14:paraId="3C9A815C">
      <w:pPr>
        <w:pStyle w:val="4"/>
        <w:spacing w:line="360" w:lineRule="auto"/>
        <w:ind w:firstLineChars="200"/>
        <w:rPr>
          <w:rFonts w:hint="default" w:ascii="Times New Roman" w:hAnsi="Times New Roman"/>
        </w:rPr>
      </w:pPr>
      <w:bookmarkStart w:id="95" w:name="_Toc555248867"/>
      <w:r>
        <w:rPr>
          <w:rFonts w:hint="default" w:ascii="Times New Roman" w:hAnsi="Times New Roman"/>
        </w:rPr>
        <w:t>11.2 Participant Withdrawal From the Study</w:t>
      </w:r>
      <w:bookmarkEnd w:id="95"/>
    </w:p>
    <w:p w14:paraId="38559E1D">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 xml:space="preserve">Patients have the right to discontinue study treatment at any time for any reason. Investigators may also withdraw patients from study treatment at their discretion. A participant must be withdrawn from the study if the participant or participant’s legally acceptable representative withdraws consent from the study. Discontinuation from study treatment is permanent. Once a participant is discontinued, he/she shall not be allowed to restart study treatment. Whenever feasible, patients who discontinue study treatment for reasons other than disease progression will continue to be followed for antitumor efficacy, safety, and survival outcomes. The primary reason for treatment discontinuation must be recorded in the electronic case report form (eCRF). </w:t>
      </w:r>
    </w:p>
    <w:p w14:paraId="2872D795">
      <w:pPr>
        <w:pStyle w:val="4"/>
        <w:spacing w:line="360" w:lineRule="auto"/>
        <w:ind w:firstLineChars="200"/>
        <w:rPr>
          <w:rFonts w:hint="default" w:ascii="Times New Roman" w:hAnsi="Times New Roman"/>
        </w:rPr>
      </w:pPr>
      <w:bookmarkStart w:id="96" w:name="_Toc1251261454"/>
      <w:r>
        <w:rPr>
          <w:rFonts w:hint="default" w:ascii="Times New Roman" w:hAnsi="Times New Roman"/>
        </w:rPr>
        <w:t>11.3 Lost to Follow-up</w:t>
      </w:r>
      <w:bookmarkEnd w:id="96"/>
    </w:p>
    <w:p w14:paraId="172610FA">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If a participant fails to return to the clinic for a required study visit and/or if the site is unable to contact the participant, the following procedures are to be performed:</w:t>
      </w:r>
    </w:p>
    <w:p w14:paraId="765DC538">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The site must attempt to contact the participant and reschedule the missed visit. If the participant is contacted, the participant should be counseled on the importance of maintaining the protocol-specified visit schedule.</w:t>
      </w:r>
    </w:p>
    <w:p w14:paraId="42B8EEDF">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The investigator or designee must make every effort to regain contact with the participant at each missed visit (eg, telephone calls and/or a certified letter to the participant’s last known mailing address or locally equivalent methods). These contact attempts should be documented in the participant’s medical record.</w:t>
      </w:r>
    </w:p>
    <w:p w14:paraId="65EBB634">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Note: A participant is not considered lost to follow-up until the last scheduled visit for the individual participant. The missing data for the participant will be managed via the prespecified statistical data handling and analysis guidelines.</w:t>
      </w:r>
    </w:p>
    <w:p w14:paraId="072A2833">
      <w:pPr>
        <w:pStyle w:val="4"/>
        <w:spacing w:line="360" w:lineRule="auto"/>
        <w:ind w:firstLineChars="200"/>
        <w:rPr>
          <w:rFonts w:hint="default" w:ascii="Times New Roman" w:hAnsi="Times New Roman"/>
        </w:rPr>
      </w:pPr>
      <w:bookmarkStart w:id="97" w:name="_Toc1791385954"/>
      <w:r>
        <w:rPr>
          <w:rFonts w:hint="default" w:ascii="Times New Roman" w:hAnsi="Times New Roman"/>
        </w:rPr>
        <w:t>11.4 Safety Follow-up</w:t>
      </w:r>
      <w:bookmarkEnd w:id="97"/>
    </w:p>
    <w:p w14:paraId="6637CAF2">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 xml:space="preserve">Patients who discontinue treatment for any reason are required to return to the study site for a safety follow-up within 30 days (±7 days) after the last dose of study drug (including chemotherapy alone) or before starting any new anticancer therapy, whichever occurs first. Additionally, regardless of whether the patient initiates new anticancer therapy, telephone follow-ups will be conducted at 60 days (±14 days) and 90 days (±14 days) after the last dose of </w:t>
      </w:r>
      <w:r>
        <w:rPr>
          <w:rFonts w:ascii="Times New Roman" w:hAnsi="Times New Roman" w:cs="Times New Roman"/>
          <w:sz w:val="24"/>
          <w:lang w:val="en-US"/>
        </w:rPr>
        <w:t>Cadonilimab</w:t>
      </w:r>
      <w:r>
        <w:rPr>
          <w:rFonts w:ascii="Times New Roman" w:hAnsi="Times New Roman" w:cs="Times New Roman"/>
          <w:sz w:val="24"/>
        </w:rPr>
        <w:t xml:space="preserve"> to assess irAEs and concomitant medications (including irAE management medications or new subsequent anticancer therapy). If suspected irAEs are reported during telephone follow-up and require further assessment, an unscheduled visit will be arranged. The End-of-Treatment (EOT) visit, triggered by disease progression that leads to treatment discontinuation, may serve as the safety follow-up visit if conducted within 30 days (±7 days) after the last study treatment.</w:t>
      </w:r>
    </w:p>
    <w:p w14:paraId="674910DC">
      <w:pPr>
        <w:pStyle w:val="4"/>
        <w:spacing w:line="360" w:lineRule="auto"/>
        <w:ind w:firstLineChars="200"/>
        <w:rPr>
          <w:rFonts w:hint="default" w:ascii="Times New Roman" w:hAnsi="Times New Roman"/>
        </w:rPr>
      </w:pPr>
      <w:bookmarkStart w:id="98" w:name="_Toc102997938"/>
      <w:r>
        <w:rPr>
          <w:rFonts w:hint="default" w:ascii="Times New Roman" w:hAnsi="Times New Roman"/>
        </w:rPr>
        <w:t>11.5 Survival Follow-up</w:t>
      </w:r>
      <w:bookmarkEnd w:id="98"/>
    </w:p>
    <w:p w14:paraId="3105913C">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After completion of safety follow-up, survival status and information on subsequent anticancer therapies will be collected approximately every 3 months (±14 days) via telephone, medical records, or clinical visits, until death, loss to follow-up, withdrawal of consent, or study completion (approximately 4 years after the last patient is enrolled).</w:t>
      </w:r>
    </w:p>
    <w:p w14:paraId="36B49134">
      <w:pPr>
        <w:pStyle w:val="4"/>
        <w:spacing w:line="360" w:lineRule="auto"/>
        <w:ind w:firstLineChars="200"/>
        <w:rPr>
          <w:rFonts w:hint="default" w:ascii="Times New Roman" w:hAnsi="Times New Roman"/>
        </w:rPr>
      </w:pPr>
      <w:bookmarkStart w:id="99" w:name="_Toc214524484"/>
      <w:r>
        <w:rPr>
          <w:rFonts w:hint="default" w:ascii="Times New Roman" w:hAnsi="Times New Roman"/>
        </w:rPr>
        <w:t>11.6 Study Completion</w:t>
      </w:r>
      <w:bookmarkEnd w:id="99"/>
    </w:p>
    <w:p w14:paraId="7B4620BC">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Enrollment is expected to be completed within 12 months. Survival follow-up will continue for approximately 3 years after the last patient is enrolled, or until all patients have died, whichever occurs first. After this period, the study will be considered complete, and no further data will be collected. Investigators may terminate the study early for reasons including, but not limited to: (1) occurrence of excessive serious adverse events indicating potential risk to patient’s safety; (2) significant slower-than-expected enrollment.</w:t>
      </w:r>
    </w:p>
    <w:p w14:paraId="59BC330E">
      <w:pPr>
        <w:pStyle w:val="2"/>
        <w:spacing w:line="360" w:lineRule="auto"/>
        <w:ind w:firstLineChars="200"/>
        <w:rPr>
          <w:rFonts w:ascii="Times New Roman" w:hAnsi="Times New Roman" w:cs="Times New Roman"/>
        </w:rPr>
      </w:pPr>
      <w:bookmarkStart w:id="100" w:name="_Toc2035442922"/>
      <w:bookmarkStart w:id="101" w:name="_Toc281403480"/>
      <w:r>
        <w:rPr>
          <w:rFonts w:ascii="Times New Roman" w:hAnsi="Times New Roman" w:cs="Times New Roman"/>
        </w:rPr>
        <w:t>12 Measurement of Effect</w:t>
      </w:r>
      <w:bookmarkEnd w:id="100"/>
      <w:bookmarkEnd w:id="101"/>
    </w:p>
    <w:p w14:paraId="3BEEB24E">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Any evaluable or measurable disease must be documented at screening and reassessed at each subsequent tumor evaluation. For solid malignancy patients with measurable disease, response will be assessed by the investigator per RECIST v1.1 (see Appendix) and immune-related response criteria (irRC; see Appendix).</w:t>
      </w:r>
    </w:p>
    <w:p w14:paraId="6CAF7A78">
      <w:pPr>
        <w:pStyle w:val="4"/>
        <w:spacing w:line="360" w:lineRule="auto"/>
        <w:ind w:firstLineChars="200"/>
        <w:rPr>
          <w:rFonts w:hint="default" w:ascii="Times New Roman" w:hAnsi="Times New Roman"/>
        </w:rPr>
      </w:pPr>
      <w:bookmarkStart w:id="102" w:name="_Toc274693344"/>
      <w:r>
        <w:rPr>
          <w:rFonts w:hint="default" w:ascii="Times New Roman" w:hAnsi="Times New Roman"/>
        </w:rPr>
        <w:t>12.1 Schedule of Evaluations</w:t>
      </w:r>
      <w:bookmarkEnd w:id="102"/>
    </w:p>
    <w:p w14:paraId="0D5D4AA1">
      <w:pPr>
        <w:spacing w:before="156" w:beforeLines="50" w:line="360" w:lineRule="auto"/>
        <w:ind w:firstLine="480" w:firstLineChars="200"/>
        <w:rPr>
          <w:rFonts w:hint="eastAsia" w:ascii="Times New Roman" w:hAnsi="Times New Roman" w:cs="Times New Roman"/>
          <w:sz w:val="24"/>
        </w:rPr>
      </w:pPr>
      <w:r>
        <w:rPr>
          <w:rFonts w:ascii="Times New Roman" w:hAnsi="Times New Roman" w:cs="Times New Roman"/>
          <w:sz w:val="24"/>
        </w:rPr>
        <w:t xml:space="preserve">For the purposes of this study, patients should be reevaluated for response and survival </w:t>
      </w:r>
      <w:r>
        <w:rPr>
          <w:rFonts w:hint="eastAsia" w:ascii="Times New Roman" w:hAnsi="Times New Roman" w:cs="Times New Roman"/>
          <w:sz w:val="24"/>
        </w:rPr>
        <w:t xml:space="preserve">after the completion of two cycles of </w:t>
      </w:r>
      <w:r>
        <w:rPr>
          <w:rFonts w:ascii="Times New Roman" w:hAnsi="Times New Roman" w:cs="Times New Roman"/>
          <w:sz w:val="24"/>
        </w:rPr>
        <w:t xml:space="preserve">induction </w:t>
      </w:r>
      <w:r>
        <w:rPr>
          <w:rFonts w:hint="eastAsia" w:ascii="Times New Roman" w:hAnsi="Times New Roman" w:cs="Times New Roman"/>
          <w:sz w:val="24"/>
        </w:rPr>
        <w:t xml:space="preserve">chemoimmunotherapy, after the </w:t>
      </w:r>
      <w:r>
        <w:rPr>
          <w:rFonts w:ascii="Times New Roman" w:hAnsi="Times New Roman" w:cs="Times New Roman"/>
          <w:sz w:val="24"/>
        </w:rPr>
        <w:t xml:space="preserve">completion of cCRT, </w:t>
      </w:r>
      <w:r>
        <w:rPr>
          <w:rFonts w:hint="eastAsia" w:ascii="Times New Roman" w:hAnsi="Times New Roman" w:cs="Times New Roman"/>
          <w:sz w:val="24"/>
        </w:rPr>
        <w:t xml:space="preserve">every 9 weeks during </w:t>
      </w:r>
      <w:r>
        <w:rPr>
          <w:rFonts w:ascii="Times New Roman" w:hAnsi="Times New Roman" w:cs="Times New Roman"/>
          <w:sz w:val="24"/>
        </w:rPr>
        <w:t xml:space="preserve">consolidation </w:t>
      </w:r>
      <w:r>
        <w:rPr>
          <w:rFonts w:hint="eastAsia" w:ascii="Times New Roman" w:hAnsi="Times New Roman" w:cs="Times New Roman"/>
          <w:sz w:val="24"/>
        </w:rPr>
        <w:t xml:space="preserve">immunotherapy, every 12 weeks in the first 2 years after the completion of </w:t>
      </w:r>
      <w:r>
        <w:rPr>
          <w:rFonts w:ascii="Times New Roman" w:hAnsi="Times New Roman" w:cs="Times New Roman"/>
          <w:sz w:val="24"/>
        </w:rPr>
        <w:t>consolidation immunotherapy</w:t>
      </w:r>
      <w:r>
        <w:rPr>
          <w:rFonts w:hint="eastAsia" w:ascii="Times New Roman" w:hAnsi="Times New Roman" w:cs="Times New Roman"/>
          <w:sz w:val="24"/>
        </w:rPr>
        <w:t xml:space="preserve">, and every 24 weeks thereafter. </w:t>
      </w:r>
    </w:p>
    <w:p w14:paraId="139A5573">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Response and progression will be evaluated in this study using the new international criteria proposed by the revised RECIST guidelines (version 1.1). Changes in the largest diameter (unidimensional measurement) of the tumor lesions and the short axis measurements in the case of lymph nodes are used in the RECIST guideline.</w:t>
      </w:r>
    </w:p>
    <w:p w14:paraId="2DB20D96">
      <w:pPr>
        <w:pStyle w:val="4"/>
        <w:spacing w:line="360" w:lineRule="auto"/>
        <w:ind w:firstLineChars="200"/>
        <w:rPr>
          <w:rFonts w:hint="default" w:ascii="Times New Roman" w:hAnsi="Times New Roman"/>
        </w:rPr>
      </w:pPr>
      <w:bookmarkStart w:id="103" w:name="_Toc1828675205"/>
      <w:r>
        <w:rPr>
          <w:rFonts w:hint="default" w:ascii="Times New Roman" w:hAnsi="Times New Roman"/>
        </w:rPr>
        <w:t>12.2 Definitions of Measurable and Non-Measurable Disease</w:t>
      </w:r>
      <w:bookmarkEnd w:id="103"/>
    </w:p>
    <w:p w14:paraId="0412D9C2">
      <w:pPr>
        <w:pStyle w:val="4"/>
        <w:spacing w:line="360" w:lineRule="auto"/>
        <w:ind w:firstLineChars="200"/>
        <w:rPr>
          <w:rFonts w:hint="default" w:ascii="Times New Roman" w:hAnsi="Times New Roman"/>
        </w:rPr>
      </w:pPr>
      <w:bookmarkStart w:id="104" w:name="_Toc1905698218"/>
      <w:r>
        <w:rPr>
          <w:rFonts w:hint="default" w:ascii="Times New Roman" w:hAnsi="Times New Roman"/>
        </w:rPr>
        <w:t>12.2.1 Measurable Disease</w:t>
      </w:r>
      <w:bookmarkEnd w:id="104"/>
    </w:p>
    <w:p w14:paraId="4C2E088C">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A non-nodal lesion is considered measurable if its longest diameter can be accurately measured as ≥2.0 cm with chest x-ray, or as ≥1.0 cm with CT scan, CT component of a PET/CT, or MRI.</w:t>
      </w:r>
    </w:p>
    <w:p w14:paraId="225FC9D1">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A superficial non-nodal lesion is measurable if its longest diameter is ≥ 1.0 cm in diameter as assessed using calipers (e.g. skin nodules) or imaging. In the case of skin lesions, documentation by color photography, including a ruler to estimate the size of the lesion, is recommended.</w:t>
      </w:r>
    </w:p>
    <w:p w14:paraId="395CE55D">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A malignant lymph node is considered measurable if its short axis is ≥1.5 cm when assessed by CT scan (CT scan slice thickness recommended to be no greater than 5 mm).</w:t>
      </w:r>
    </w:p>
    <w:p w14:paraId="1F593F9B">
      <w:pPr>
        <w:pStyle w:val="4"/>
        <w:spacing w:line="360" w:lineRule="auto"/>
        <w:ind w:firstLineChars="200"/>
        <w:rPr>
          <w:rFonts w:hint="default" w:ascii="Times New Roman" w:hAnsi="Times New Roman"/>
        </w:rPr>
      </w:pPr>
      <w:bookmarkStart w:id="105" w:name="_Toc1498838568"/>
      <w:r>
        <w:rPr>
          <w:rFonts w:hint="default" w:ascii="Times New Roman" w:hAnsi="Times New Roman"/>
        </w:rPr>
        <w:t>12.2.2 Non-Measurable Disease</w:t>
      </w:r>
      <w:bookmarkEnd w:id="105"/>
    </w:p>
    <w:p w14:paraId="216DF8F4">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All other lesions (or sites of disease) are considered non-measurable disease, including pathological nodes (those with a short axis ≥ 1.0 to &lt; 1.5 cm).</w:t>
      </w:r>
    </w:p>
    <w:p w14:paraId="52560D98">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Note: ‘Cystic lesions’ thought to represent cystic metastases can be considered as measurable lesions, if they meet the definition of measurability described above. However, if non-cystic lesions are present in the same patient, these are preferred for selection as target lesions. In addition, lymph nodes that have a short axis &lt; 1.0 cm are considered non-pathological (i.e., normal) and should not be recorded or followed.</w:t>
      </w:r>
    </w:p>
    <w:p w14:paraId="2379AC3E">
      <w:pPr>
        <w:pStyle w:val="4"/>
        <w:spacing w:line="360" w:lineRule="auto"/>
        <w:ind w:firstLineChars="200"/>
        <w:rPr>
          <w:rFonts w:hint="default" w:ascii="Times New Roman" w:hAnsi="Times New Roman"/>
        </w:rPr>
      </w:pPr>
      <w:bookmarkStart w:id="106" w:name="_Toc996633066"/>
      <w:r>
        <w:rPr>
          <w:rFonts w:hint="default" w:ascii="Times New Roman" w:hAnsi="Times New Roman"/>
        </w:rPr>
        <w:t>12.3 Guidelines for Evaluation of Measurable Disease</w:t>
      </w:r>
      <w:bookmarkEnd w:id="106"/>
    </w:p>
    <w:p w14:paraId="452C542A">
      <w:pPr>
        <w:pStyle w:val="4"/>
        <w:spacing w:line="360" w:lineRule="auto"/>
        <w:ind w:firstLineChars="200"/>
        <w:rPr>
          <w:rFonts w:hint="default" w:ascii="Times New Roman" w:hAnsi="Times New Roman"/>
        </w:rPr>
      </w:pPr>
      <w:bookmarkStart w:id="107" w:name="_Toc39493662"/>
      <w:r>
        <w:rPr>
          <w:rFonts w:hint="default" w:ascii="Times New Roman" w:hAnsi="Times New Roman"/>
        </w:rPr>
        <w:t>12.3.1 Measurement Methods</w:t>
      </w:r>
      <w:bookmarkEnd w:id="107"/>
    </w:p>
    <w:p w14:paraId="22C98E1B">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All measurements should be recorded in metric notation (i.e., decimal fractions of centimeters) using a ruler or calipers.</w:t>
      </w:r>
    </w:p>
    <w:p w14:paraId="0AA61BA4">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The same method of assessment and the same technique must be used to characterize each identified and reported lesion at baseline and during follow-up. For patients having only lesions measuring at least 1 cm to less than 2 cm must use CT imaging for both pre- and post-treatment tumor assessments.</w:t>
      </w:r>
    </w:p>
    <w:p w14:paraId="12D2AF5D">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Imaging-based evaluation is preferred to evaluation by clinical examination when both methods have been used at the same evaluation to assess the antitumor effect of a treatment.</w:t>
      </w:r>
    </w:p>
    <w:p w14:paraId="0E7D526F">
      <w:pPr>
        <w:pStyle w:val="4"/>
        <w:spacing w:line="360" w:lineRule="auto"/>
        <w:ind w:firstLineChars="200"/>
        <w:rPr>
          <w:rFonts w:hint="default" w:ascii="Times New Roman" w:hAnsi="Times New Roman"/>
        </w:rPr>
      </w:pPr>
      <w:bookmarkStart w:id="108" w:name="_Toc197530311"/>
      <w:r>
        <w:rPr>
          <w:rFonts w:hint="default" w:ascii="Times New Roman" w:hAnsi="Times New Roman"/>
        </w:rPr>
        <w:t>12.3.2 Acceptable Modalities for Measurable Disease</w:t>
      </w:r>
      <w:bookmarkEnd w:id="108"/>
    </w:p>
    <w:p w14:paraId="2CB205E3">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Conventional CT and MRI: This guideline has defined measurability of lesions on CT scan based on the assumption that CT slice thickness is 5 mm or less. If CT scans have slice thickness greater than 5 mm, the minimum size for a measurable lesion should be twice the slice thickness.</w:t>
      </w:r>
    </w:p>
    <w:p w14:paraId="00302DBC">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As with CT, if an MRI is performed, the technical specifications of the scanning sequences used should be optimized for the evaluation of the type and site of disease. The lesions should be measured on the same pulse sequence. Ideally, the same type of scanner should be used and the image acquisition protocol should be followed as closely as possible to prior scans. Body scans should be performed with breath-hold scanning techniques, if possible.</w:t>
      </w:r>
    </w:p>
    <w:p w14:paraId="4304A171">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PET-CT: If the site can document that the CT performed as part of a PET-CT is of identical diagnostic quality to a diagnostic CT (with IV and oral contrast), then the CT portion of the PET-CT can be used for RECIST measurements and can be used interchangeably with conventional CT in accurately measuring cancer lesions over time.</w:t>
      </w:r>
    </w:p>
    <w:p w14:paraId="58B350EE">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FDG-PET: FDG-PET scanning is allowed to complement CT scanning in assessment of progressive disease (PD) and particularly possible 'new' disease. A ‘positive’ FDG-PET scanned lesion is defined as one which is FDG avid with an update greater than twice that of the surrounding tissue on the attenuation corrected image; otherwise, an FDG-PET scanned lesion is considered ‘negative.’ New lesions on the basis of FDG-PET imaging can be identified according to the following algorithm:</w:t>
      </w:r>
    </w:p>
    <w:p w14:paraId="2802BD00">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a. Negative FDG-PET at baseline with a positive FDG-PET at follow-up is a sign of PD based on a new lesion.</w:t>
      </w:r>
    </w:p>
    <w:p w14:paraId="299AEBFB">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b. No FDG-PET at baseline and a positive FDG-PET at follow-up:</w:t>
      </w:r>
    </w:p>
    <w:p w14:paraId="3C963148">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If the positive FDG-PET at follow-up corresponds to a new site of disease confirmed by CT, this is PD.</w:t>
      </w:r>
    </w:p>
    <w:p w14:paraId="453814D0">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If the positive FDG-PET at follow-up is not confirmed as a new site of disease on CT at the same evaluation, additional follow-up CT scans (i.e., additional follow-up scans at least 4 weeks later) are needed to determine if there is truly progression occurring at that site. In this situation, the date of PD will be the date of the initial abnormal FDG-PET scan.</w:t>
      </w:r>
    </w:p>
    <w:p w14:paraId="018960B8">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If the positive FDG-PET at follow-up corresponds to a pre-existing site of disease on CT that is not progressing on the basis of the anatomic images, it is not classified as PD.</w:t>
      </w:r>
    </w:p>
    <w:p w14:paraId="264A9317">
      <w:pPr>
        <w:pStyle w:val="4"/>
        <w:spacing w:line="360" w:lineRule="auto"/>
        <w:ind w:firstLineChars="200"/>
        <w:rPr>
          <w:rFonts w:hint="default" w:ascii="Times New Roman" w:hAnsi="Times New Roman"/>
        </w:rPr>
      </w:pPr>
      <w:bookmarkStart w:id="109" w:name="_Toc2029702362"/>
      <w:r>
        <w:rPr>
          <w:rFonts w:hint="default" w:ascii="Times New Roman" w:hAnsi="Times New Roman"/>
        </w:rPr>
        <w:t>12.4 Measurement of Treatment/Intervention Effect</w:t>
      </w:r>
      <w:bookmarkEnd w:id="109"/>
    </w:p>
    <w:p w14:paraId="728C8BB0">
      <w:pPr>
        <w:pStyle w:val="4"/>
        <w:spacing w:line="360" w:lineRule="auto"/>
        <w:ind w:firstLineChars="200"/>
        <w:rPr>
          <w:rFonts w:hint="default" w:ascii="Times New Roman" w:hAnsi="Times New Roman"/>
        </w:rPr>
      </w:pPr>
      <w:bookmarkStart w:id="110" w:name="_Toc429865539"/>
      <w:r>
        <w:rPr>
          <w:rFonts w:hint="default" w:ascii="Times New Roman" w:hAnsi="Times New Roman"/>
        </w:rPr>
        <w:t>12.4.1 Target Lesions &amp; Target Lymph Nodes</w:t>
      </w:r>
      <w:bookmarkEnd w:id="110"/>
    </w:p>
    <w:p w14:paraId="77F9AABE">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Measurable lesions up to a maximum of 5 lesions, representative of all involved organs, should be identified as "Target Lesions" and recorded and measured at baseline. These lesions can be non-nodal or nodal, where no more than 2 lesions are from the same organ and no more than 2 malignant nodal lesions are selected.</w:t>
      </w:r>
    </w:p>
    <w:p w14:paraId="297C12EA">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Note: If fewer than 5 target lesions and target lymph nodes are identified (as there often will be), there is no reason to perform additional studies beyond those specified in the protocol to discover new lesions.</w:t>
      </w:r>
    </w:p>
    <w:p w14:paraId="28611C80">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Target lesions and target lymph nodes should be selected on the basis of their size, be representative of all involved sites of disease, but in addition should be those that lend themselves to reproducible repeated measurements. It may be the case that, on occasion, the largest lesion (or malignant lymph node) does not lend itself to reproducible measurements in which circumstance the next largest lesion (or malignant lymph node) which can be measured reproducibly should be selected.</w:t>
      </w:r>
    </w:p>
    <w:p w14:paraId="04CC04E3">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Baseline Sum of Dimensions (BSD): A sum of the longest diameter for all target lesions plus the sum of the short axis of all the target lymph nodes will be calculated and reported as the BSD. The BSD will be used as reference to further characterize any objective tumor response in the measurable dimension of the disease.</w:t>
      </w:r>
    </w:p>
    <w:p w14:paraId="7EA1EE6A">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Post-Baseline Sum of the Dimensions (PBSD): A sum of the longest diameter for all target lesions plus the sum of the short axis of all the target lymph nodes will be calculated and reported as the PBSD. If the radiologist is able to provide an actual measure for the target lesion (or target lymph node), that should be recorded, even if it is below 0.5 cm. If the target lesion (or target lymph node) is believed to be present and is faintly seen but too small to measure, a default value of 0.5 cm should be assigned. If it is the opinion of the radiologist that the target lesion or target lymph node has likely disappeared, the measurement should be recorded as 0 cm.</w:t>
      </w:r>
    </w:p>
    <w:p w14:paraId="6156EC70">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The minimum sum of the dimensions (MSD) is the minimum of the BSD and the PBSD.</w:t>
      </w:r>
    </w:p>
    <w:p w14:paraId="623D9652">
      <w:pPr>
        <w:pStyle w:val="4"/>
        <w:spacing w:line="360" w:lineRule="auto"/>
        <w:ind w:firstLineChars="200"/>
        <w:rPr>
          <w:rFonts w:hint="default" w:ascii="Times New Roman" w:hAnsi="Times New Roman"/>
        </w:rPr>
      </w:pPr>
      <w:bookmarkStart w:id="111" w:name="_Toc615125465"/>
      <w:r>
        <w:rPr>
          <w:rFonts w:hint="default" w:ascii="Times New Roman" w:hAnsi="Times New Roman"/>
        </w:rPr>
        <w:t>12.4.2 Non-Target Lesions &amp; Non-Target Lymph Nodes</w:t>
      </w:r>
      <w:bookmarkEnd w:id="111"/>
    </w:p>
    <w:p w14:paraId="3EE4F15C">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 xml:space="preserve">Non-measurable sites of disease are classified as non-target lesions or non-target lymph nodes and should also be recorded at baseline. </w:t>
      </w:r>
    </w:p>
    <w:p w14:paraId="3F6C9A0B">
      <w:pPr>
        <w:pStyle w:val="4"/>
        <w:spacing w:line="360" w:lineRule="auto"/>
        <w:ind w:firstLineChars="200"/>
        <w:rPr>
          <w:rFonts w:hint="default" w:ascii="Times New Roman" w:hAnsi="Times New Roman"/>
        </w:rPr>
      </w:pPr>
      <w:bookmarkStart w:id="112" w:name="_Toc427413597"/>
      <w:r>
        <w:rPr>
          <w:rFonts w:hint="default" w:ascii="Times New Roman" w:hAnsi="Times New Roman"/>
        </w:rPr>
        <w:t>12.4.3 Response Criteria</w:t>
      </w:r>
      <w:bookmarkEnd w:id="112"/>
    </w:p>
    <w:p w14:paraId="524622FC">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All target lesions and target lymph nodes followed by CT/MRI/PET-CT must be measured on re-evaluation at evaluation times. Specifically, a change in objective status to either a PR or CR cannot be done without re-measuring target lesions and target lymph nodes.</w:t>
      </w:r>
    </w:p>
    <w:p w14:paraId="0BBB4B42">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Note: Non-target lesions and non-target lymph nodes should be evaluated at each assessment, especially in the case of first response or confirmation of response. In selected circumstances, certain non-target organs may be evaluated less frequently. For example, bone scans may need to be repeated only when complete response is identified in target disease or when progression in bone is suspected.</w:t>
      </w:r>
    </w:p>
    <w:p w14:paraId="079BDF2C">
      <w:pPr>
        <w:pStyle w:val="5"/>
        <w:spacing w:line="360" w:lineRule="auto"/>
        <w:ind w:firstLine="561" w:firstLineChars="200"/>
        <w:rPr>
          <w:rFonts w:ascii="Times New Roman" w:hAnsi="Times New Roman" w:cs="Times New Roman"/>
        </w:rPr>
      </w:pPr>
      <w:r>
        <w:rPr>
          <w:rFonts w:ascii="Times New Roman" w:hAnsi="Times New Roman" w:cs="Times New Roman"/>
        </w:rPr>
        <w:t>12.4.3.1 Evaluation of Target Lesions</w:t>
      </w:r>
    </w:p>
    <w:p w14:paraId="6FE4CEE5">
      <w:pPr>
        <w:spacing w:before="156" w:beforeLines="50" w:line="360" w:lineRule="auto"/>
        <w:ind w:firstLineChars="200"/>
        <w:rPr>
          <w:rFonts w:ascii="Times New Roman" w:hAnsi="Times New Roman" w:cs="Times New Roman"/>
          <w:sz w:val="24"/>
        </w:rPr>
      </w:pPr>
      <w:r>
        <w:rPr>
          <w:rFonts w:ascii="Times New Roman" w:hAnsi="Times New Roman" w:cs="Times New Roman"/>
          <w:sz w:val="24"/>
        </w:rPr>
        <w:t>Complete Response: All of the following must be true:</w:t>
      </w:r>
    </w:p>
    <w:p w14:paraId="2DDDC366">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a. Disappearance of all target lesions.</w:t>
      </w:r>
    </w:p>
    <w:p w14:paraId="00B59B2A">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b. Each target lymph node must have reduction in short axis to &lt; 1.0 cm.</w:t>
      </w:r>
    </w:p>
    <w:p w14:paraId="020F4F1B">
      <w:pPr>
        <w:spacing w:before="156" w:beforeLines="50" w:line="360" w:lineRule="auto"/>
        <w:ind w:firstLineChars="200"/>
        <w:rPr>
          <w:rFonts w:ascii="Times New Roman" w:hAnsi="Times New Roman" w:cs="Times New Roman"/>
          <w:sz w:val="24"/>
        </w:rPr>
      </w:pPr>
      <w:r>
        <w:rPr>
          <w:rFonts w:ascii="Times New Roman" w:hAnsi="Times New Roman" w:cs="Times New Roman"/>
          <w:sz w:val="24"/>
        </w:rPr>
        <w:t>Partial Response: At least a 30% decrease in PBSD (sum of the longest diameter for all target lesions plus the sum of the short axis of all the target lymph nodes at current evaluation) taking as reference the BSD.</w:t>
      </w:r>
    </w:p>
    <w:p w14:paraId="19F5CAE2">
      <w:pPr>
        <w:spacing w:before="156" w:beforeLines="50" w:line="360" w:lineRule="auto"/>
        <w:ind w:firstLineChars="200"/>
        <w:rPr>
          <w:rFonts w:ascii="Times New Roman" w:hAnsi="Times New Roman" w:cs="Times New Roman"/>
          <w:sz w:val="24"/>
        </w:rPr>
      </w:pPr>
      <w:r>
        <w:rPr>
          <w:rFonts w:ascii="Times New Roman" w:hAnsi="Times New Roman" w:cs="Times New Roman"/>
          <w:sz w:val="24"/>
        </w:rPr>
        <w:t>Progression: At least one of the following must be true:</w:t>
      </w:r>
    </w:p>
    <w:p w14:paraId="6A6B59FD">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a. At least one new malignant lesion, which also includes any lymph node that was normal at baseline (&lt; 1.0 cm short axis) and increased to ≥ 1.0 cm short axis during follow-up.</w:t>
      </w:r>
    </w:p>
    <w:p w14:paraId="4CC8E39A">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b. At least a 20% increase in PBSD (sum of the longest diameter for all target lesions plus the sum of the short axis of all the target lymph nodes at current evaluation) taking as reference the MSD. In addition, the PBSD must also demonstrate an absolute increase of at least 0.5 cm from the MSD.</w:t>
      </w:r>
    </w:p>
    <w:p w14:paraId="5DB776A6">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c. See Section 12.3.2 for details in regards to the requirements for PD via FDG-PET imaging.</w:t>
      </w:r>
    </w:p>
    <w:p w14:paraId="75C72DB0">
      <w:pPr>
        <w:spacing w:before="156" w:beforeLines="50" w:line="360" w:lineRule="auto"/>
        <w:ind w:firstLineChars="200"/>
        <w:rPr>
          <w:rFonts w:ascii="Times New Roman" w:hAnsi="Times New Roman" w:cs="Times New Roman"/>
          <w:sz w:val="24"/>
        </w:rPr>
      </w:pPr>
      <w:r>
        <w:rPr>
          <w:rFonts w:ascii="Times New Roman" w:hAnsi="Times New Roman" w:cs="Times New Roman"/>
          <w:sz w:val="24"/>
        </w:rPr>
        <w:t>Stable Disease: Neither sufficient shrinkage to qualify for PR, nor sufficient increase to qualify for PD taking as reference the MSD.</w:t>
      </w:r>
    </w:p>
    <w:p w14:paraId="487FD3DD">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Complete Response: All of the following must be true:</w:t>
      </w:r>
    </w:p>
    <w:p w14:paraId="304FECD1">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a. Disappearance of all target lesions.</w:t>
      </w:r>
    </w:p>
    <w:p w14:paraId="10D9B981">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b. Each target lymph node must have reduction in short axis to &lt; 1.0 cm.</w:t>
      </w:r>
    </w:p>
    <w:p w14:paraId="01EF2556">
      <w:pPr>
        <w:spacing w:before="156" w:beforeLines="50" w:line="360" w:lineRule="auto"/>
        <w:ind w:firstLineChars="200"/>
        <w:rPr>
          <w:rFonts w:ascii="Times New Roman" w:hAnsi="Times New Roman" w:cs="Times New Roman"/>
          <w:sz w:val="24"/>
        </w:rPr>
      </w:pPr>
      <w:r>
        <w:rPr>
          <w:rFonts w:ascii="Times New Roman" w:hAnsi="Times New Roman" w:cs="Times New Roman"/>
          <w:sz w:val="24"/>
        </w:rPr>
        <w:t>Partial Response : At least a 30% decrease in PBSD (sum of the longest diameter for all target lesions plus the sum of the short axis of all the target lymph nodes at current evaluation) taking as reference the BSD.</w:t>
      </w:r>
    </w:p>
    <w:p w14:paraId="04CDC42F">
      <w:pPr>
        <w:spacing w:before="156" w:beforeLines="50" w:line="360" w:lineRule="auto"/>
        <w:ind w:firstLineChars="200"/>
        <w:rPr>
          <w:rFonts w:ascii="Times New Roman" w:hAnsi="Times New Roman" w:cs="Times New Roman"/>
          <w:sz w:val="24"/>
        </w:rPr>
      </w:pPr>
      <w:r>
        <w:rPr>
          <w:rFonts w:ascii="Times New Roman" w:hAnsi="Times New Roman" w:cs="Times New Roman"/>
          <w:sz w:val="24"/>
        </w:rPr>
        <w:t>Progressive Disease: At least one of the following must be true:</w:t>
      </w:r>
    </w:p>
    <w:p w14:paraId="503A4C1D">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a. At least one new malignant lesion, which also includes any lymph node that was normal at baseline (&lt; 1.0 cm short axis) and increased to ≥ 1.0 cm short axis during follow-up.</w:t>
      </w:r>
    </w:p>
    <w:p w14:paraId="7891A983">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b. At least a 20% increase in PBSD (sum of the longest diameter for all target lesions plus the sum of the short axis of all the target lymph nodes at current evaluation) taking as reference the MSD. In addition, the PBSD must also demonstrate an absolute increase of at least 0.5 cm from the MSD.</w:t>
      </w:r>
    </w:p>
    <w:p w14:paraId="17B42678">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c. See Section 12.3.2 for details in regards to the requirements for PD via FDG-PET imaging.</w:t>
      </w:r>
    </w:p>
    <w:p w14:paraId="36553071">
      <w:pPr>
        <w:spacing w:before="156" w:beforeLines="50" w:line="360" w:lineRule="auto"/>
        <w:ind w:firstLineChars="200"/>
        <w:rPr>
          <w:rFonts w:ascii="Times New Roman" w:hAnsi="Times New Roman" w:cs="Times New Roman"/>
          <w:sz w:val="24"/>
        </w:rPr>
      </w:pPr>
      <w:r>
        <w:rPr>
          <w:rFonts w:ascii="Times New Roman" w:hAnsi="Times New Roman" w:cs="Times New Roman"/>
          <w:sz w:val="24"/>
        </w:rPr>
        <w:t>Stable Disease: Neither sufficient shrinkage to qualify for PR, nor sufficient increase to qualify for PD taking as reference the MSD.</w:t>
      </w:r>
    </w:p>
    <w:p w14:paraId="4645BF43">
      <w:pPr>
        <w:pStyle w:val="5"/>
        <w:spacing w:line="360" w:lineRule="auto"/>
        <w:ind w:firstLine="561" w:firstLineChars="200"/>
        <w:rPr>
          <w:rFonts w:ascii="Times New Roman" w:hAnsi="Times New Roman" w:cs="Times New Roman"/>
        </w:rPr>
      </w:pPr>
      <w:r>
        <w:rPr>
          <w:rFonts w:ascii="Times New Roman" w:hAnsi="Times New Roman" w:cs="Times New Roman"/>
        </w:rPr>
        <w:t>12.4.3.2 Evaluation of Non-Target Lesions &amp; Non-target Lymph Nodes</w:t>
      </w:r>
    </w:p>
    <w:p w14:paraId="4D28D4DB">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Complete Response: All of the following must be true:</w:t>
      </w:r>
    </w:p>
    <w:p w14:paraId="6DB26857">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a. Disappearance of all non-target lesions.</w:t>
      </w:r>
    </w:p>
    <w:p w14:paraId="65427D6A">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b. Each non-target lymph node must have a reduction in short axis to &lt;1.0 cm.</w:t>
      </w:r>
    </w:p>
    <w:p w14:paraId="512E8911">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Non-CR/Non-PD: Persistence of one or more non-target lesions or non-target lymph nodes.</w:t>
      </w:r>
    </w:p>
    <w:p w14:paraId="1180444F">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Progression: At least one of the following must be true:</w:t>
      </w:r>
    </w:p>
    <w:p w14:paraId="06157C7E">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a. At least one new malignant lesion, which also includes any lymph node that was normal at baseline (&lt; 1.0 cm short axis) and increased to ≥ 1.0 cm short axis during follow-up.</w:t>
      </w:r>
    </w:p>
    <w:p w14:paraId="59AA259B">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b. Unequivocal progression of existing non-target lesions and non-target lymph nodes. (NOTE: Unequivocal progression should not normally trump target lesion and target lymph node status. It must be representative of overall disease status change.)</w:t>
      </w:r>
    </w:p>
    <w:p w14:paraId="25AB5E54">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c. See Section 12.3.2 for details in regards to the requirements for PD via FDG-PET imaging.</w:t>
      </w:r>
    </w:p>
    <w:p w14:paraId="47B826AA">
      <w:pPr>
        <w:pStyle w:val="4"/>
        <w:spacing w:line="360" w:lineRule="auto"/>
        <w:ind w:firstLineChars="200"/>
        <w:rPr>
          <w:rFonts w:hint="default" w:ascii="Times New Roman" w:hAnsi="Times New Roman"/>
        </w:rPr>
      </w:pPr>
      <w:bookmarkStart w:id="113" w:name="_Toc207525564"/>
      <w:r>
        <w:rPr>
          <w:rFonts w:hint="default" w:ascii="Times New Roman" w:hAnsi="Times New Roman"/>
        </w:rPr>
        <w:t>12.4.4 Symptomatic Deterioration</w:t>
      </w:r>
      <w:bookmarkEnd w:id="113"/>
    </w:p>
    <w:p w14:paraId="376447CF">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Patients with global deterioration of health status requiring discontinuation of treatment without objective evidence of disease progression at that time, and not either related to study treatment or other medical conditions, should be reported as PD due to “symptomatic deterioration.” Every effort should be made to document the objective progression even after discontinuation of treatment due to symptomatic deterioration.</w:t>
      </w:r>
    </w:p>
    <w:p w14:paraId="2743F8D4">
      <w:pPr>
        <w:pStyle w:val="2"/>
        <w:spacing w:line="360" w:lineRule="auto"/>
        <w:ind w:firstLineChars="200"/>
        <w:rPr>
          <w:rFonts w:ascii="Times New Roman" w:hAnsi="Times New Roman" w:cs="Times New Roman"/>
        </w:rPr>
      </w:pPr>
      <w:bookmarkStart w:id="114" w:name="_Toc368711420"/>
      <w:bookmarkStart w:id="115" w:name="_Toc789297666"/>
      <w:r>
        <w:rPr>
          <w:rFonts w:ascii="Times New Roman" w:hAnsi="Times New Roman" w:cs="Times New Roman"/>
        </w:rPr>
        <w:t>13 Safety Instructions and Guidance</w:t>
      </w:r>
      <w:bookmarkEnd w:id="114"/>
      <w:bookmarkEnd w:id="115"/>
      <w:r>
        <w:rPr>
          <w:rFonts w:ascii="Times New Roman" w:hAnsi="Times New Roman" w:cs="Times New Roman"/>
        </w:rPr>
        <w:t xml:space="preserve"> </w:t>
      </w:r>
    </w:p>
    <w:p w14:paraId="75B30085">
      <w:pPr>
        <w:pStyle w:val="4"/>
        <w:spacing w:line="360" w:lineRule="auto"/>
        <w:ind w:firstLineChars="200"/>
        <w:rPr>
          <w:rFonts w:hint="default" w:ascii="Times New Roman" w:hAnsi="Times New Roman"/>
        </w:rPr>
      </w:pPr>
      <w:bookmarkStart w:id="116" w:name="_Toc1442514345"/>
      <w:r>
        <w:rPr>
          <w:rFonts w:hint="default" w:ascii="Times New Roman" w:hAnsi="Times New Roman"/>
        </w:rPr>
        <w:t>13.1 Definition of Adverse Events</w:t>
      </w:r>
      <w:bookmarkEnd w:id="116"/>
    </w:p>
    <w:p w14:paraId="1C81D943">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An adverse event is defined as any unfavorable medical occurrence in a clinical trial subject from the time of signing the informed consent form (ICF) until 90 days after the last administration of the study drug, regardless of whether it is considered related to the study drug. AEs include, but are not limited to, the following:</w:t>
      </w:r>
    </w:p>
    <w:p w14:paraId="20B99AFF">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Worsening of pre-existing medical conditions or diseases (including deterioration of symptoms, signs, or laboratory abnormalities) that existed prior to study entry.</w:t>
      </w:r>
    </w:p>
    <w:p w14:paraId="4C627C3C">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Any newly occurring medical condition (including symptoms, signs, or newly diagnosed diseases).</w:t>
      </w:r>
    </w:p>
    <w:p w14:paraId="25EFA7D6">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Clinically significant abnormal laboratory test values or results.</w:t>
      </w:r>
    </w:p>
    <w:p w14:paraId="6ECDB9E1">
      <w:pPr>
        <w:pStyle w:val="4"/>
        <w:spacing w:line="360" w:lineRule="auto"/>
        <w:ind w:firstLineChars="200"/>
        <w:rPr>
          <w:rFonts w:hint="default" w:ascii="Times New Roman" w:hAnsi="Times New Roman"/>
        </w:rPr>
      </w:pPr>
      <w:bookmarkStart w:id="117" w:name="_Toc1395705432"/>
      <w:r>
        <w:rPr>
          <w:rFonts w:hint="default" w:ascii="Times New Roman" w:hAnsi="Times New Roman"/>
        </w:rPr>
        <w:t>13.2 Definition of Serious Adverse Events</w:t>
      </w:r>
      <w:bookmarkEnd w:id="117"/>
    </w:p>
    <w:p w14:paraId="1AA5D060">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A serious adverse event is defined as any AE that meets at least one of the following criteria:</w:t>
      </w:r>
    </w:p>
    <w:p w14:paraId="7349FAA6">
      <w:pPr>
        <w:numPr>
          <w:ilvl w:val="0"/>
          <w:numId w:val="7"/>
        </w:numPr>
        <w:spacing w:before="156" w:beforeLines="50" w:line="360" w:lineRule="auto"/>
        <w:ind w:left="1260" w:firstLine="480" w:firstLineChars="200"/>
        <w:rPr>
          <w:rFonts w:ascii="Times New Roman" w:hAnsi="Times New Roman" w:cs="Times New Roman"/>
          <w:sz w:val="24"/>
        </w:rPr>
      </w:pPr>
      <w:r>
        <w:rPr>
          <w:rFonts w:ascii="Times New Roman" w:hAnsi="Times New Roman" w:cs="Times New Roman"/>
          <w:sz w:val="24"/>
        </w:rPr>
        <w:t>Death – Results in death, excluding deaths due to progression of the underlying disease for which the study is being conducted.</w:t>
      </w:r>
    </w:p>
    <w:p w14:paraId="30C08863">
      <w:pPr>
        <w:numPr>
          <w:ilvl w:val="0"/>
          <w:numId w:val="7"/>
        </w:numPr>
        <w:spacing w:before="156" w:beforeLines="50" w:line="360" w:lineRule="auto"/>
        <w:ind w:left="1260" w:firstLine="480" w:firstLineChars="200"/>
        <w:rPr>
          <w:rFonts w:ascii="Times New Roman" w:hAnsi="Times New Roman" w:cs="Times New Roman"/>
          <w:sz w:val="24"/>
        </w:rPr>
      </w:pPr>
      <w:r>
        <w:rPr>
          <w:rFonts w:ascii="Times New Roman" w:hAnsi="Times New Roman" w:cs="Times New Roman"/>
          <w:sz w:val="24"/>
        </w:rPr>
        <w:t>Life-threatening event – Is life-threatening at the time of occurrence, defined as an AE that places the subject at immediate risk of death, excluding events that could potentially lead to death if they were to worsen.</w:t>
      </w:r>
    </w:p>
    <w:p w14:paraId="4670EFF5">
      <w:pPr>
        <w:numPr>
          <w:ilvl w:val="0"/>
          <w:numId w:val="7"/>
        </w:numPr>
        <w:spacing w:before="156" w:beforeLines="50" w:line="360" w:lineRule="auto"/>
        <w:ind w:left="1260" w:firstLine="480" w:firstLineChars="200"/>
        <w:rPr>
          <w:rFonts w:ascii="Times New Roman" w:hAnsi="Times New Roman" w:cs="Times New Roman"/>
          <w:sz w:val="24"/>
        </w:rPr>
      </w:pPr>
      <w:r>
        <w:rPr>
          <w:rFonts w:ascii="Times New Roman" w:hAnsi="Times New Roman" w:cs="Times New Roman"/>
          <w:sz w:val="24"/>
        </w:rPr>
        <w:t>Hospitalization or prolongation of existing hospitalization – Requires hospitalization or extends the duration of a pre-existing hospitalization, excluding the following:</w:t>
      </w:r>
    </w:p>
    <w:p w14:paraId="7E149F01">
      <w:pPr>
        <w:numPr>
          <w:ilvl w:val="0"/>
          <w:numId w:val="7"/>
        </w:numPr>
        <w:spacing w:before="156" w:beforeLines="50" w:line="360" w:lineRule="auto"/>
        <w:ind w:left="1260" w:firstLine="480" w:firstLineChars="200"/>
        <w:rPr>
          <w:rFonts w:ascii="Times New Roman" w:hAnsi="Times New Roman" w:cs="Times New Roman"/>
          <w:sz w:val="24"/>
        </w:rPr>
      </w:pPr>
      <w:r>
        <w:rPr>
          <w:rFonts w:ascii="Times New Roman" w:hAnsi="Times New Roman" w:cs="Times New Roman"/>
          <w:sz w:val="24"/>
        </w:rPr>
        <w:t>Admission to rehabilitation facilities</w:t>
      </w:r>
    </w:p>
    <w:p w14:paraId="3E5870E8">
      <w:pPr>
        <w:numPr>
          <w:ilvl w:val="0"/>
          <w:numId w:val="7"/>
        </w:numPr>
        <w:spacing w:before="156" w:beforeLines="50" w:line="360" w:lineRule="auto"/>
        <w:ind w:left="1260" w:firstLine="480" w:firstLineChars="200"/>
        <w:rPr>
          <w:rFonts w:ascii="Times New Roman" w:hAnsi="Times New Roman" w:cs="Times New Roman"/>
          <w:sz w:val="24"/>
        </w:rPr>
      </w:pPr>
      <w:r>
        <w:rPr>
          <w:rFonts w:ascii="Times New Roman" w:hAnsi="Times New Roman" w:cs="Times New Roman"/>
          <w:sz w:val="24"/>
        </w:rPr>
        <w:t>Admission to nursing homes</w:t>
      </w:r>
    </w:p>
    <w:p w14:paraId="29D1AD83">
      <w:pPr>
        <w:numPr>
          <w:ilvl w:val="0"/>
          <w:numId w:val="7"/>
        </w:numPr>
        <w:spacing w:before="156" w:beforeLines="50" w:line="360" w:lineRule="auto"/>
        <w:ind w:left="1260" w:firstLine="480" w:firstLineChars="200"/>
        <w:rPr>
          <w:rFonts w:ascii="Times New Roman" w:hAnsi="Times New Roman" w:cs="Times New Roman"/>
          <w:sz w:val="24"/>
        </w:rPr>
      </w:pPr>
      <w:r>
        <w:rPr>
          <w:rFonts w:ascii="Times New Roman" w:hAnsi="Times New Roman" w:cs="Times New Roman"/>
          <w:sz w:val="24"/>
        </w:rPr>
        <w:t>Routine emergency department visits</w:t>
      </w:r>
    </w:p>
    <w:p w14:paraId="76D85E48">
      <w:pPr>
        <w:numPr>
          <w:ilvl w:val="0"/>
          <w:numId w:val="7"/>
        </w:numPr>
        <w:spacing w:before="156" w:beforeLines="50" w:line="360" w:lineRule="auto"/>
        <w:ind w:left="1260" w:firstLine="480" w:firstLineChars="200"/>
        <w:rPr>
          <w:rFonts w:ascii="Times New Roman" w:hAnsi="Times New Roman" w:cs="Times New Roman"/>
          <w:sz w:val="24"/>
        </w:rPr>
      </w:pPr>
      <w:r>
        <w:rPr>
          <w:rFonts w:ascii="Times New Roman" w:hAnsi="Times New Roman" w:cs="Times New Roman"/>
          <w:sz w:val="24"/>
        </w:rPr>
        <w:t>Day surgery or outpatient/non-overnight procedures</w:t>
      </w:r>
    </w:p>
    <w:p w14:paraId="79821AB1">
      <w:pPr>
        <w:numPr>
          <w:ilvl w:val="0"/>
          <w:numId w:val="7"/>
        </w:numPr>
        <w:spacing w:before="156" w:beforeLines="50" w:line="360" w:lineRule="auto"/>
        <w:ind w:left="1260" w:firstLine="480" w:firstLineChars="200"/>
        <w:rPr>
          <w:rFonts w:ascii="Times New Roman" w:hAnsi="Times New Roman" w:cs="Times New Roman"/>
          <w:sz w:val="24"/>
        </w:rPr>
      </w:pPr>
      <w:r>
        <w:rPr>
          <w:rFonts w:ascii="Times New Roman" w:hAnsi="Times New Roman" w:cs="Times New Roman"/>
          <w:sz w:val="24"/>
        </w:rPr>
        <w:t>Hospitalization unrelated to AE worsening or prolongation of stay not caused by AE (e.g., admission for pre-existing laboratory abnormalities, routine annual check-ups, protocol-specified hospitalization, elective procedures unrelated to AE worsening, pre-planned surgeries or therapies).</w:t>
      </w:r>
    </w:p>
    <w:p w14:paraId="021E7BC2">
      <w:pPr>
        <w:numPr>
          <w:ilvl w:val="0"/>
          <w:numId w:val="7"/>
        </w:numPr>
        <w:spacing w:before="156" w:beforeLines="50" w:line="360" w:lineRule="auto"/>
        <w:ind w:left="1260" w:firstLine="480" w:firstLineChars="200"/>
        <w:rPr>
          <w:rFonts w:ascii="Times New Roman" w:hAnsi="Times New Roman" w:cs="Times New Roman"/>
          <w:sz w:val="24"/>
        </w:rPr>
      </w:pPr>
      <w:r>
        <w:rPr>
          <w:rFonts w:ascii="Times New Roman" w:hAnsi="Times New Roman" w:cs="Times New Roman"/>
          <w:sz w:val="24"/>
        </w:rPr>
        <w:t>Hospitalization solely for administration of blood products</w:t>
      </w:r>
    </w:p>
    <w:p w14:paraId="3188D2E6">
      <w:pPr>
        <w:numPr>
          <w:ilvl w:val="0"/>
          <w:numId w:val="7"/>
        </w:numPr>
        <w:spacing w:before="156" w:beforeLines="50" w:line="360" w:lineRule="auto"/>
        <w:ind w:left="1260" w:firstLine="480" w:firstLineChars="200"/>
        <w:rPr>
          <w:rFonts w:ascii="Times New Roman" w:hAnsi="Times New Roman" w:cs="Times New Roman"/>
          <w:sz w:val="24"/>
        </w:rPr>
      </w:pPr>
      <w:r>
        <w:rPr>
          <w:rFonts w:ascii="Times New Roman" w:hAnsi="Times New Roman" w:cs="Times New Roman"/>
          <w:sz w:val="24"/>
        </w:rPr>
        <w:t>Disability or incapacity – Results in permanent or significant disability or incapacity.</w:t>
      </w:r>
    </w:p>
    <w:p w14:paraId="4A8C02D5">
      <w:pPr>
        <w:numPr>
          <w:ilvl w:val="0"/>
          <w:numId w:val="7"/>
        </w:numPr>
        <w:spacing w:before="156" w:beforeLines="50" w:line="360" w:lineRule="auto"/>
        <w:ind w:left="1260" w:firstLine="480" w:firstLineChars="200"/>
        <w:rPr>
          <w:rFonts w:ascii="Times New Roman" w:hAnsi="Times New Roman" w:cs="Times New Roman"/>
          <w:sz w:val="24"/>
        </w:rPr>
      </w:pPr>
      <w:r>
        <w:rPr>
          <w:rFonts w:ascii="Times New Roman" w:hAnsi="Times New Roman" w:cs="Times New Roman"/>
          <w:sz w:val="24"/>
        </w:rPr>
        <w:t>Congenital anomaly or birth defect – Causes a congenital anomaly or birth defect.</w:t>
      </w:r>
    </w:p>
    <w:p w14:paraId="084A6D04">
      <w:pPr>
        <w:numPr>
          <w:ilvl w:val="0"/>
          <w:numId w:val="7"/>
        </w:numPr>
        <w:spacing w:before="156" w:beforeLines="50" w:line="360" w:lineRule="auto"/>
        <w:ind w:left="1260" w:firstLine="480" w:firstLineChars="200"/>
        <w:rPr>
          <w:rFonts w:ascii="Times New Roman" w:hAnsi="Times New Roman" w:cs="Times New Roman"/>
          <w:sz w:val="24"/>
        </w:rPr>
      </w:pPr>
      <w:r>
        <w:rPr>
          <w:rFonts w:ascii="Times New Roman" w:hAnsi="Times New Roman" w:cs="Times New Roman"/>
          <w:sz w:val="24"/>
        </w:rPr>
        <w:t>Other medically important events – Are other medically significant events that may jeopardize the subject’s health or require medical or surgical intervention to prevent any of the outcomes listed above.</w:t>
      </w:r>
    </w:p>
    <w:p w14:paraId="62C06F46">
      <w:pPr>
        <w:pStyle w:val="4"/>
        <w:spacing w:line="360" w:lineRule="auto"/>
        <w:ind w:firstLineChars="200"/>
        <w:rPr>
          <w:rFonts w:hint="default" w:ascii="Times New Roman" w:hAnsi="Times New Roman"/>
        </w:rPr>
      </w:pPr>
      <w:bookmarkStart w:id="118" w:name="_Toc657319443"/>
      <w:r>
        <w:rPr>
          <w:rFonts w:hint="default" w:ascii="Times New Roman" w:hAnsi="Times New Roman"/>
        </w:rPr>
        <w:t>13.3 Adverse Event Assessment</w:t>
      </w:r>
      <w:bookmarkEnd w:id="118"/>
    </w:p>
    <w:p w14:paraId="3691B7C6">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All AEs will be evaluated by the investigator according to the NCI-CTCAE, Version 5.0. Any AE resulting in a change in CTCAE grade will be documented in the AE case report form/worksheet. All AEs, regardless of CTCAE grade, must be assessed to determine whether they qualify as SAEs.</w:t>
      </w:r>
    </w:p>
    <w:p w14:paraId="4F08CA6E">
      <w:pPr>
        <w:spacing w:before="156" w:beforeLines="50" w:line="360" w:lineRule="auto"/>
        <w:ind w:firstLine="420" w:firstLineChars="200"/>
        <w:jc w:val="center"/>
        <w:rPr>
          <w:rFonts w:ascii="Times New Roman" w:hAnsi="Times New Roman" w:cs="Times New Roman"/>
          <w:b/>
          <w:bCs/>
          <w:szCs w:val="21"/>
        </w:rPr>
      </w:pPr>
      <w:r>
        <w:rPr>
          <w:rFonts w:ascii="Times New Roman" w:hAnsi="Times New Roman" w:cs="Times New Roman"/>
          <w:b/>
          <w:bCs/>
          <w:szCs w:val="21"/>
        </w:rPr>
        <w:t>Table.3 AE Assessment Details</w:t>
      </w:r>
    </w:p>
    <w:tbl>
      <w:tblPr>
        <w:tblStyle w:val="15"/>
        <w:tblW w:w="0" w:type="auto"/>
        <w:tblInd w:w="88" w:type="dxa"/>
        <w:tblLayout w:type="fixed"/>
        <w:tblCellMar>
          <w:top w:w="0" w:type="dxa"/>
          <w:left w:w="108" w:type="dxa"/>
          <w:bottom w:w="0" w:type="dxa"/>
          <w:right w:w="108" w:type="dxa"/>
        </w:tblCellMar>
      </w:tblPr>
      <w:tblGrid>
        <w:gridCol w:w="1297"/>
        <w:gridCol w:w="1183"/>
        <w:gridCol w:w="1324"/>
        <w:gridCol w:w="4630"/>
      </w:tblGrid>
      <w:tr w14:paraId="7F03D4CA">
        <w:trPr>
          <w:trHeight w:val="835" w:hRule="atLeast"/>
        </w:trPr>
        <w:tc>
          <w:tcPr>
            <w:tcW w:w="1297" w:type="dxa"/>
            <w:vMerge w:val="restart"/>
            <w:tcBorders>
              <w:top w:val="nil"/>
              <w:left w:val="nil"/>
              <w:bottom w:val="nil"/>
              <w:right w:val="nil"/>
              <w:tl2br w:val="nil"/>
            </w:tcBorders>
            <w:shd w:val="clear" w:color="auto" w:fill="FFFFFF"/>
            <w:vAlign w:val="center"/>
          </w:tcPr>
          <w:p w14:paraId="21D86021">
            <w:pPr>
              <w:spacing w:before="156" w:beforeLines="50" w:line="360" w:lineRule="auto"/>
              <w:rPr>
                <w:rFonts w:ascii="Times New Roman" w:hAnsi="Times New Roman" w:cs="Times New Roman"/>
                <w:sz w:val="24"/>
              </w:rPr>
            </w:pPr>
            <w:r>
              <w:rPr>
                <w:rFonts w:ascii="Times New Roman" w:hAnsi="Times New Roman" w:cs="Times New Roman"/>
                <w:sz w:val="24"/>
              </w:rPr>
              <w:t>Grading of Adverse Events</w:t>
            </w:r>
          </w:p>
        </w:tc>
        <w:tc>
          <w:tcPr>
            <w:tcW w:w="1183" w:type="dxa"/>
            <w:tcBorders>
              <w:top w:val="nil"/>
              <w:left w:val="nil"/>
              <w:bottom w:val="nil"/>
              <w:right w:val="nil"/>
            </w:tcBorders>
            <w:shd w:val="clear" w:color="auto" w:fill="FFFFFF"/>
            <w:vAlign w:val="center"/>
          </w:tcPr>
          <w:p w14:paraId="2180C608">
            <w:pPr>
              <w:spacing w:before="156" w:beforeLines="50" w:line="360" w:lineRule="auto"/>
              <w:rPr>
                <w:rFonts w:ascii="Times New Roman" w:hAnsi="Times New Roman" w:cs="Times New Roman"/>
                <w:sz w:val="24"/>
              </w:rPr>
            </w:pPr>
            <w:r>
              <w:rPr>
                <w:rFonts w:ascii="Times New Roman" w:hAnsi="Times New Roman" w:cs="Times New Roman"/>
                <w:sz w:val="24"/>
              </w:rPr>
              <w:t>Grade 1</w:t>
            </w:r>
          </w:p>
        </w:tc>
        <w:tc>
          <w:tcPr>
            <w:tcW w:w="1324" w:type="dxa"/>
            <w:tcBorders>
              <w:top w:val="nil"/>
              <w:left w:val="nil"/>
              <w:bottom w:val="nil"/>
              <w:right w:val="nil"/>
            </w:tcBorders>
            <w:shd w:val="clear" w:color="auto" w:fill="FFFFFF"/>
            <w:vAlign w:val="center"/>
          </w:tcPr>
          <w:p w14:paraId="02F2C3A4">
            <w:pPr>
              <w:spacing w:before="156" w:beforeLines="50" w:line="360" w:lineRule="auto"/>
              <w:rPr>
                <w:rFonts w:ascii="Times New Roman" w:hAnsi="Times New Roman" w:cs="Times New Roman"/>
                <w:sz w:val="24"/>
              </w:rPr>
            </w:pPr>
            <w:r>
              <w:rPr>
                <w:rFonts w:ascii="Times New Roman" w:hAnsi="Times New Roman" w:cs="Times New Roman"/>
                <w:sz w:val="24"/>
              </w:rPr>
              <w:t>Mild</w:t>
            </w:r>
          </w:p>
        </w:tc>
        <w:tc>
          <w:tcPr>
            <w:tcW w:w="4630" w:type="dxa"/>
            <w:tcBorders>
              <w:top w:val="nil"/>
              <w:left w:val="nil"/>
              <w:bottom w:val="nil"/>
              <w:right w:val="nil"/>
            </w:tcBorders>
            <w:shd w:val="clear" w:color="auto" w:fill="FFFFFF"/>
            <w:vAlign w:val="center"/>
          </w:tcPr>
          <w:p w14:paraId="6F7796E8">
            <w:pPr>
              <w:spacing w:before="156" w:beforeLines="50" w:line="360" w:lineRule="auto"/>
              <w:rPr>
                <w:rFonts w:ascii="Times New Roman" w:hAnsi="Times New Roman" w:cs="Times New Roman"/>
                <w:sz w:val="24"/>
              </w:rPr>
            </w:pPr>
            <w:r>
              <w:rPr>
                <w:rFonts w:ascii="Times New Roman" w:hAnsi="Times New Roman" w:cs="Times New Roman"/>
                <w:sz w:val="24"/>
              </w:rPr>
              <w:t>Asymptomatic or mild symptoms; only clinical or diagnostic observations; no intervention required</w:t>
            </w:r>
          </w:p>
        </w:tc>
      </w:tr>
      <w:tr w14:paraId="23C63431">
        <w:trPr>
          <w:trHeight w:val="1079" w:hRule="atLeast"/>
        </w:trPr>
        <w:tc>
          <w:tcPr>
            <w:tcW w:w="1297" w:type="dxa"/>
            <w:vMerge w:val="continue"/>
            <w:tcBorders>
              <w:top w:val="nil"/>
              <w:left w:val="nil"/>
              <w:right w:val="nil"/>
            </w:tcBorders>
            <w:shd w:val="clear" w:color="auto" w:fill="FFFFFF"/>
            <w:vAlign w:val="center"/>
          </w:tcPr>
          <w:p w14:paraId="05364E22">
            <w:pPr>
              <w:spacing w:before="156" w:beforeLines="50" w:line="360" w:lineRule="auto"/>
              <w:rPr>
                <w:rFonts w:ascii="Times New Roman" w:hAnsi="Times New Roman" w:cs="Times New Roman"/>
                <w:sz w:val="24"/>
              </w:rPr>
            </w:pPr>
          </w:p>
        </w:tc>
        <w:tc>
          <w:tcPr>
            <w:tcW w:w="1183" w:type="dxa"/>
            <w:tcBorders>
              <w:top w:val="nil"/>
              <w:left w:val="nil"/>
              <w:bottom w:val="nil"/>
              <w:right w:val="nil"/>
            </w:tcBorders>
            <w:shd w:val="clear" w:color="auto" w:fill="FFFFFF"/>
            <w:vAlign w:val="center"/>
          </w:tcPr>
          <w:p w14:paraId="56A69518">
            <w:pPr>
              <w:spacing w:before="156" w:beforeLines="50" w:line="360" w:lineRule="auto"/>
              <w:rPr>
                <w:rFonts w:ascii="Times New Roman" w:hAnsi="Times New Roman" w:cs="Times New Roman"/>
                <w:sz w:val="24"/>
              </w:rPr>
            </w:pPr>
            <w:r>
              <w:rPr>
                <w:rFonts w:ascii="Times New Roman" w:hAnsi="Times New Roman" w:cs="Times New Roman"/>
                <w:sz w:val="24"/>
              </w:rPr>
              <w:t>Grade 2</w:t>
            </w:r>
          </w:p>
        </w:tc>
        <w:tc>
          <w:tcPr>
            <w:tcW w:w="1324" w:type="dxa"/>
            <w:tcBorders>
              <w:top w:val="nil"/>
              <w:left w:val="nil"/>
              <w:bottom w:val="nil"/>
              <w:right w:val="nil"/>
            </w:tcBorders>
            <w:shd w:val="clear" w:color="auto" w:fill="FFFFFF"/>
            <w:vAlign w:val="center"/>
          </w:tcPr>
          <w:p w14:paraId="37DF202F">
            <w:pPr>
              <w:spacing w:before="156" w:beforeLines="50" w:line="360" w:lineRule="auto"/>
              <w:rPr>
                <w:rFonts w:ascii="Times New Roman" w:hAnsi="Times New Roman" w:cs="Times New Roman"/>
                <w:sz w:val="24"/>
              </w:rPr>
            </w:pPr>
            <w:r>
              <w:rPr>
                <w:rFonts w:ascii="Times New Roman" w:hAnsi="Times New Roman" w:cs="Times New Roman"/>
                <w:sz w:val="24"/>
              </w:rPr>
              <w:t>Moderate</w:t>
            </w:r>
          </w:p>
        </w:tc>
        <w:tc>
          <w:tcPr>
            <w:tcW w:w="4630" w:type="dxa"/>
            <w:tcBorders>
              <w:top w:val="nil"/>
              <w:left w:val="nil"/>
              <w:bottom w:val="nil"/>
              <w:right w:val="nil"/>
            </w:tcBorders>
            <w:shd w:val="clear" w:color="auto" w:fill="FFFFFF"/>
            <w:vAlign w:val="center"/>
          </w:tcPr>
          <w:p w14:paraId="3429107F">
            <w:pPr>
              <w:spacing w:before="156" w:beforeLines="50" w:line="360" w:lineRule="auto"/>
              <w:rPr>
                <w:rFonts w:ascii="Times New Roman" w:hAnsi="Times New Roman" w:cs="Times New Roman"/>
                <w:sz w:val="24"/>
              </w:rPr>
            </w:pPr>
            <w:r>
              <w:rPr>
                <w:rFonts w:ascii="Times New Roman" w:hAnsi="Times New Roman" w:cs="Times New Roman"/>
                <w:sz w:val="24"/>
              </w:rPr>
              <w:t>Moderate symptoms; minimal, local, or noninvasive intervention indicated; limiting age-appropriate instrumental activities of daily living (ADL)</w:t>
            </w:r>
          </w:p>
        </w:tc>
      </w:tr>
      <w:tr w14:paraId="7B17EBAA">
        <w:trPr>
          <w:trHeight w:val="1127" w:hRule="atLeast"/>
        </w:trPr>
        <w:tc>
          <w:tcPr>
            <w:tcW w:w="1297" w:type="dxa"/>
            <w:vMerge w:val="continue"/>
            <w:tcBorders>
              <w:left w:val="nil"/>
              <w:right w:val="nil"/>
            </w:tcBorders>
            <w:shd w:val="clear" w:color="auto" w:fill="FFFFFF"/>
            <w:vAlign w:val="center"/>
          </w:tcPr>
          <w:p w14:paraId="3A4C0F9E">
            <w:pPr>
              <w:spacing w:before="156" w:beforeLines="50" w:line="360" w:lineRule="auto"/>
              <w:rPr>
                <w:rFonts w:ascii="Times New Roman" w:hAnsi="Times New Roman" w:cs="Times New Roman"/>
                <w:sz w:val="24"/>
              </w:rPr>
            </w:pPr>
          </w:p>
        </w:tc>
        <w:tc>
          <w:tcPr>
            <w:tcW w:w="1183" w:type="dxa"/>
            <w:tcBorders>
              <w:top w:val="nil"/>
              <w:left w:val="nil"/>
              <w:bottom w:val="nil"/>
              <w:right w:val="nil"/>
            </w:tcBorders>
            <w:shd w:val="clear" w:color="auto" w:fill="FFFFFF"/>
            <w:vAlign w:val="center"/>
          </w:tcPr>
          <w:p w14:paraId="346A3DF0">
            <w:pPr>
              <w:spacing w:before="156" w:beforeLines="50" w:line="360" w:lineRule="auto"/>
              <w:rPr>
                <w:rFonts w:ascii="Times New Roman" w:hAnsi="Times New Roman" w:cs="Times New Roman"/>
                <w:sz w:val="24"/>
              </w:rPr>
            </w:pPr>
            <w:r>
              <w:rPr>
                <w:rFonts w:ascii="Times New Roman" w:hAnsi="Times New Roman" w:cs="Times New Roman"/>
                <w:sz w:val="24"/>
              </w:rPr>
              <w:t>Grade 3</w:t>
            </w:r>
          </w:p>
        </w:tc>
        <w:tc>
          <w:tcPr>
            <w:tcW w:w="1324" w:type="dxa"/>
            <w:tcBorders>
              <w:top w:val="nil"/>
              <w:left w:val="nil"/>
              <w:bottom w:val="nil"/>
              <w:right w:val="nil"/>
            </w:tcBorders>
            <w:shd w:val="clear" w:color="auto" w:fill="FFFFFF"/>
            <w:vAlign w:val="center"/>
          </w:tcPr>
          <w:p w14:paraId="4F3B7D18">
            <w:pPr>
              <w:spacing w:before="156" w:beforeLines="50" w:line="360" w:lineRule="auto"/>
              <w:rPr>
                <w:rFonts w:ascii="Times New Roman" w:hAnsi="Times New Roman" w:cs="Times New Roman"/>
                <w:sz w:val="24"/>
              </w:rPr>
            </w:pPr>
            <w:r>
              <w:rPr>
                <w:rFonts w:ascii="Times New Roman" w:hAnsi="Times New Roman" w:cs="Times New Roman"/>
                <w:sz w:val="24"/>
              </w:rPr>
              <w:t>Severe or Medically Significant</w:t>
            </w:r>
          </w:p>
        </w:tc>
        <w:tc>
          <w:tcPr>
            <w:tcW w:w="4630" w:type="dxa"/>
            <w:tcBorders>
              <w:top w:val="nil"/>
              <w:left w:val="nil"/>
              <w:bottom w:val="nil"/>
              <w:right w:val="nil"/>
            </w:tcBorders>
            <w:shd w:val="clear" w:color="auto" w:fill="FFFFFF"/>
            <w:vAlign w:val="center"/>
          </w:tcPr>
          <w:p w14:paraId="0567867B">
            <w:pPr>
              <w:spacing w:before="156" w:beforeLines="50" w:line="360" w:lineRule="auto"/>
              <w:rPr>
                <w:rFonts w:ascii="Times New Roman" w:hAnsi="Times New Roman" w:cs="Times New Roman"/>
                <w:sz w:val="24"/>
              </w:rPr>
            </w:pPr>
            <w:r>
              <w:rPr>
                <w:rFonts w:ascii="Times New Roman" w:hAnsi="Times New Roman" w:cs="Times New Roman"/>
                <w:sz w:val="24"/>
              </w:rPr>
              <w:t>Severe or medically significant but not immediately life-threatening; hospitalization or prolongation of hospitalization indicated; disabling; limiting self-care ADL</w:t>
            </w:r>
          </w:p>
        </w:tc>
      </w:tr>
      <w:tr w14:paraId="4D01A0ED">
        <w:trPr>
          <w:trHeight w:val="710" w:hRule="atLeast"/>
        </w:trPr>
        <w:tc>
          <w:tcPr>
            <w:tcW w:w="1297" w:type="dxa"/>
            <w:vMerge w:val="continue"/>
            <w:tcBorders>
              <w:left w:val="nil"/>
              <w:right w:val="nil"/>
            </w:tcBorders>
            <w:shd w:val="clear" w:color="auto" w:fill="FFFFFF"/>
            <w:vAlign w:val="center"/>
          </w:tcPr>
          <w:p w14:paraId="23F82127">
            <w:pPr>
              <w:spacing w:before="156" w:beforeLines="50" w:line="360" w:lineRule="auto"/>
              <w:rPr>
                <w:rFonts w:ascii="Times New Roman" w:hAnsi="Times New Roman" w:cs="Times New Roman"/>
                <w:sz w:val="24"/>
              </w:rPr>
            </w:pPr>
          </w:p>
        </w:tc>
        <w:tc>
          <w:tcPr>
            <w:tcW w:w="1183" w:type="dxa"/>
            <w:tcBorders>
              <w:top w:val="nil"/>
              <w:left w:val="nil"/>
              <w:bottom w:val="nil"/>
              <w:right w:val="nil"/>
            </w:tcBorders>
            <w:shd w:val="clear" w:color="auto" w:fill="FFFFFF"/>
            <w:vAlign w:val="center"/>
          </w:tcPr>
          <w:p w14:paraId="48970DAB">
            <w:pPr>
              <w:spacing w:before="156" w:beforeLines="50" w:line="360" w:lineRule="auto"/>
              <w:rPr>
                <w:rFonts w:ascii="Times New Roman" w:hAnsi="Times New Roman" w:cs="Times New Roman"/>
                <w:sz w:val="24"/>
              </w:rPr>
            </w:pPr>
            <w:r>
              <w:rPr>
                <w:rFonts w:ascii="Times New Roman" w:hAnsi="Times New Roman" w:cs="Times New Roman"/>
                <w:sz w:val="24"/>
              </w:rPr>
              <w:t>Grade 4</w:t>
            </w:r>
          </w:p>
        </w:tc>
        <w:tc>
          <w:tcPr>
            <w:tcW w:w="1324" w:type="dxa"/>
            <w:tcBorders>
              <w:top w:val="nil"/>
              <w:left w:val="nil"/>
              <w:bottom w:val="nil"/>
              <w:right w:val="nil"/>
            </w:tcBorders>
            <w:shd w:val="clear" w:color="auto" w:fill="FFFFFF"/>
            <w:vAlign w:val="center"/>
          </w:tcPr>
          <w:p w14:paraId="215278AB">
            <w:pPr>
              <w:spacing w:before="156" w:beforeLines="50" w:line="360" w:lineRule="auto"/>
              <w:rPr>
                <w:rFonts w:ascii="Times New Roman" w:hAnsi="Times New Roman" w:cs="Times New Roman"/>
                <w:sz w:val="24"/>
              </w:rPr>
            </w:pPr>
            <w:r>
              <w:rPr>
                <w:rFonts w:ascii="Times New Roman" w:hAnsi="Times New Roman" w:cs="Times New Roman"/>
                <w:sz w:val="24"/>
              </w:rPr>
              <w:t>Life-Threatening</w:t>
            </w:r>
          </w:p>
        </w:tc>
        <w:tc>
          <w:tcPr>
            <w:tcW w:w="4630" w:type="dxa"/>
            <w:tcBorders>
              <w:top w:val="nil"/>
              <w:left w:val="nil"/>
              <w:bottom w:val="nil"/>
              <w:right w:val="nil"/>
            </w:tcBorders>
            <w:shd w:val="clear" w:color="auto" w:fill="FFFFFF"/>
            <w:vAlign w:val="center"/>
          </w:tcPr>
          <w:p w14:paraId="2EA20617">
            <w:pPr>
              <w:spacing w:before="156" w:beforeLines="50" w:line="360" w:lineRule="auto"/>
              <w:rPr>
                <w:rFonts w:ascii="Times New Roman" w:hAnsi="Times New Roman" w:cs="Times New Roman"/>
                <w:sz w:val="24"/>
              </w:rPr>
            </w:pPr>
            <w:r>
              <w:rPr>
                <w:rFonts w:ascii="Times New Roman" w:hAnsi="Times New Roman" w:cs="Times New Roman"/>
                <w:sz w:val="24"/>
              </w:rPr>
              <w:t>Life-threatening consequences; urgent intervention required</w:t>
            </w:r>
          </w:p>
        </w:tc>
      </w:tr>
      <w:tr w14:paraId="52BF598D">
        <w:trPr>
          <w:trHeight w:val="421" w:hRule="atLeast"/>
        </w:trPr>
        <w:tc>
          <w:tcPr>
            <w:tcW w:w="1297" w:type="dxa"/>
            <w:vMerge w:val="continue"/>
            <w:tcBorders>
              <w:left w:val="nil"/>
              <w:bottom w:val="nil"/>
              <w:right w:val="nil"/>
            </w:tcBorders>
            <w:shd w:val="clear" w:color="auto" w:fill="FFFFFF"/>
            <w:vAlign w:val="center"/>
          </w:tcPr>
          <w:p w14:paraId="0F8184EA">
            <w:pPr>
              <w:spacing w:before="156" w:beforeLines="50" w:line="360" w:lineRule="auto"/>
              <w:rPr>
                <w:rFonts w:ascii="Times New Roman" w:hAnsi="Times New Roman" w:cs="Times New Roman"/>
                <w:sz w:val="24"/>
              </w:rPr>
            </w:pPr>
          </w:p>
        </w:tc>
        <w:tc>
          <w:tcPr>
            <w:tcW w:w="1183" w:type="dxa"/>
            <w:tcBorders>
              <w:top w:val="nil"/>
              <w:left w:val="nil"/>
              <w:bottom w:val="nil"/>
              <w:right w:val="nil"/>
            </w:tcBorders>
            <w:shd w:val="clear" w:color="auto" w:fill="FFFFFF"/>
            <w:vAlign w:val="center"/>
          </w:tcPr>
          <w:p w14:paraId="31FCF5A7">
            <w:pPr>
              <w:spacing w:before="156" w:beforeLines="50" w:line="360" w:lineRule="auto"/>
              <w:rPr>
                <w:rFonts w:ascii="Times New Roman" w:hAnsi="Times New Roman" w:cs="Times New Roman"/>
                <w:sz w:val="24"/>
              </w:rPr>
            </w:pPr>
            <w:r>
              <w:rPr>
                <w:rFonts w:ascii="Times New Roman" w:hAnsi="Times New Roman" w:cs="Times New Roman"/>
                <w:sz w:val="24"/>
              </w:rPr>
              <w:t>Grade 5</w:t>
            </w:r>
          </w:p>
        </w:tc>
        <w:tc>
          <w:tcPr>
            <w:tcW w:w="1324" w:type="dxa"/>
            <w:tcBorders>
              <w:top w:val="nil"/>
              <w:left w:val="nil"/>
              <w:bottom w:val="nil"/>
              <w:right w:val="nil"/>
            </w:tcBorders>
            <w:shd w:val="clear" w:color="auto" w:fill="FFFFFF"/>
            <w:vAlign w:val="center"/>
          </w:tcPr>
          <w:p w14:paraId="6736A38D">
            <w:pPr>
              <w:spacing w:before="156" w:beforeLines="50" w:line="360" w:lineRule="auto"/>
              <w:rPr>
                <w:rFonts w:ascii="Times New Roman" w:hAnsi="Times New Roman" w:cs="Times New Roman"/>
                <w:sz w:val="24"/>
              </w:rPr>
            </w:pPr>
            <w:r>
              <w:rPr>
                <w:rFonts w:ascii="Times New Roman" w:hAnsi="Times New Roman" w:cs="Times New Roman"/>
                <w:sz w:val="24"/>
              </w:rPr>
              <w:t>Death</w:t>
            </w:r>
          </w:p>
        </w:tc>
        <w:tc>
          <w:tcPr>
            <w:tcW w:w="4630" w:type="dxa"/>
            <w:tcBorders>
              <w:top w:val="nil"/>
              <w:left w:val="nil"/>
              <w:bottom w:val="nil"/>
              <w:right w:val="nil"/>
            </w:tcBorders>
            <w:shd w:val="clear" w:color="auto" w:fill="FFFFFF"/>
            <w:vAlign w:val="center"/>
          </w:tcPr>
          <w:p w14:paraId="6D1BD05C">
            <w:pPr>
              <w:spacing w:before="156" w:beforeLines="50" w:line="360" w:lineRule="auto"/>
              <w:rPr>
                <w:rFonts w:ascii="Times New Roman" w:hAnsi="Times New Roman" w:cs="Times New Roman"/>
                <w:sz w:val="24"/>
              </w:rPr>
            </w:pPr>
            <w:r>
              <w:rPr>
                <w:rFonts w:ascii="Times New Roman" w:hAnsi="Times New Roman" w:cs="Times New Roman"/>
                <w:sz w:val="24"/>
              </w:rPr>
              <w:t>Death related to the adverse event</w:t>
            </w:r>
          </w:p>
        </w:tc>
      </w:tr>
      <w:tr w14:paraId="20A1B95B">
        <w:trPr>
          <w:trHeight w:val="1022" w:hRule="atLeast"/>
        </w:trPr>
        <w:tc>
          <w:tcPr>
            <w:tcW w:w="1297" w:type="dxa"/>
            <w:vMerge w:val="restart"/>
            <w:tcBorders>
              <w:top w:val="nil"/>
              <w:left w:val="nil"/>
              <w:right w:val="nil"/>
            </w:tcBorders>
            <w:shd w:val="clear" w:color="auto" w:fill="FFFFFF"/>
            <w:vAlign w:val="center"/>
          </w:tcPr>
          <w:p w14:paraId="1E0A76A8">
            <w:pPr>
              <w:spacing w:before="156" w:beforeLines="50" w:line="360" w:lineRule="auto"/>
              <w:rPr>
                <w:rFonts w:ascii="Times New Roman" w:hAnsi="Times New Roman" w:cs="Times New Roman"/>
                <w:sz w:val="24"/>
              </w:rPr>
            </w:pPr>
            <w:r>
              <w:rPr>
                <w:rFonts w:ascii="Times New Roman" w:hAnsi="Times New Roman" w:cs="Times New Roman"/>
                <w:sz w:val="24"/>
              </w:rPr>
              <w:t>Severity</w:t>
            </w:r>
          </w:p>
        </w:tc>
        <w:tc>
          <w:tcPr>
            <w:tcW w:w="7137" w:type="dxa"/>
            <w:gridSpan w:val="3"/>
            <w:tcBorders>
              <w:top w:val="nil"/>
              <w:left w:val="nil"/>
              <w:bottom w:val="nil"/>
              <w:right w:val="nil"/>
            </w:tcBorders>
            <w:shd w:val="clear" w:color="auto" w:fill="FFFFFF"/>
            <w:vAlign w:val="center"/>
          </w:tcPr>
          <w:p w14:paraId="6B14CF3C">
            <w:pPr>
              <w:spacing w:before="156" w:beforeLines="50" w:line="360" w:lineRule="auto"/>
              <w:rPr>
                <w:rFonts w:ascii="Times New Roman" w:hAnsi="Times New Roman" w:cs="Times New Roman"/>
                <w:sz w:val="24"/>
              </w:rPr>
            </w:pPr>
            <w:r>
              <w:rPr>
                <w:rFonts w:ascii="Times New Roman" w:hAnsi="Times New Roman" w:cs="Times New Roman"/>
                <w:sz w:val="24"/>
              </w:rPr>
              <w:t>A serious adverse event</w:t>
            </w:r>
            <w:r>
              <w:rPr>
                <w:rFonts w:hint="default" w:ascii="Times New Roman" w:hAnsi="Times New Roman" w:cs="Times New Roman"/>
                <w:sz w:val="24"/>
                <w:lang w:val="en-US"/>
              </w:rPr>
              <w:t xml:space="preserve"> </w:t>
            </w:r>
            <w:r>
              <w:rPr>
                <w:rFonts w:ascii="Times New Roman" w:hAnsi="Times New Roman" w:cs="Times New Roman"/>
                <w:sz w:val="24"/>
              </w:rPr>
              <w:t>is defined as any adverse event occurring at any dose or during the use of the investigational product that meets any of the following criteria:</w:t>
            </w:r>
          </w:p>
        </w:tc>
      </w:tr>
      <w:tr w14:paraId="102AEE39">
        <w:trPr>
          <w:trHeight w:val="340" w:hRule="atLeast"/>
        </w:trPr>
        <w:tc>
          <w:tcPr>
            <w:tcW w:w="1297" w:type="dxa"/>
            <w:vMerge w:val="continue"/>
            <w:tcBorders>
              <w:left w:val="nil"/>
              <w:right w:val="nil"/>
            </w:tcBorders>
            <w:shd w:val="clear" w:color="auto" w:fill="FFFFFF"/>
            <w:vAlign w:val="center"/>
          </w:tcPr>
          <w:p w14:paraId="47988494">
            <w:pPr>
              <w:spacing w:before="156" w:beforeLines="50" w:line="360" w:lineRule="auto"/>
              <w:rPr>
                <w:rFonts w:ascii="Times New Roman" w:hAnsi="Times New Roman" w:cs="Times New Roman"/>
                <w:sz w:val="24"/>
              </w:rPr>
            </w:pPr>
          </w:p>
        </w:tc>
        <w:tc>
          <w:tcPr>
            <w:tcW w:w="7137" w:type="dxa"/>
            <w:gridSpan w:val="3"/>
            <w:tcBorders>
              <w:top w:val="nil"/>
              <w:left w:val="nil"/>
              <w:bottom w:val="nil"/>
              <w:right w:val="nil"/>
            </w:tcBorders>
            <w:shd w:val="clear" w:color="auto" w:fill="FFFFFF"/>
            <w:vAlign w:val="center"/>
          </w:tcPr>
          <w:p w14:paraId="64B06F51">
            <w:pPr>
              <w:spacing w:before="156" w:beforeLines="50" w:line="360" w:lineRule="auto"/>
              <w:rPr>
                <w:rFonts w:ascii="Times New Roman" w:hAnsi="Times New Roman" w:cs="Times New Roman"/>
                <w:sz w:val="24"/>
              </w:rPr>
            </w:pPr>
            <w:r>
              <w:rPr>
                <w:rFonts w:ascii="Times New Roman" w:hAnsi="Times New Roman" w:cs="Times New Roman"/>
                <w:sz w:val="24"/>
              </w:rPr>
              <w:t>Results in death.</w:t>
            </w:r>
          </w:p>
        </w:tc>
      </w:tr>
      <w:tr w14:paraId="30FB6DDC">
        <w:trPr>
          <w:trHeight w:val="1048" w:hRule="atLeast"/>
        </w:trPr>
        <w:tc>
          <w:tcPr>
            <w:tcW w:w="1297" w:type="dxa"/>
            <w:vMerge w:val="continue"/>
            <w:tcBorders>
              <w:left w:val="nil"/>
              <w:right w:val="nil"/>
            </w:tcBorders>
            <w:shd w:val="clear" w:color="auto" w:fill="FFFFFF"/>
            <w:vAlign w:val="center"/>
          </w:tcPr>
          <w:p w14:paraId="2A5D96D9">
            <w:pPr>
              <w:spacing w:before="156" w:beforeLines="50" w:line="360" w:lineRule="auto"/>
              <w:rPr>
                <w:rFonts w:ascii="Times New Roman" w:hAnsi="Times New Roman" w:cs="Times New Roman"/>
                <w:sz w:val="24"/>
              </w:rPr>
            </w:pPr>
          </w:p>
        </w:tc>
        <w:tc>
          <w:tcPr>
            <w:tcW w:w="7137" w:type="dxa"/>
            <w:gridSpan w:val="3"/>
            <w:tcBorders>
              <w:top w:val="nil"/>
              <w:left w:val="nil"/>
              <w:bottom w:val="nil"/>
              <w:right w:val="nil"/>
            </w:tcBorders>
            <w:shd w:val="clear" w:color="auto" w:fill="FFFFFF"/>
            <w:vAlign w:val="center"/>
          </w:tcPr>
          <w:p w14:paraId="68062DA3">
            <w:pPr>
              <w:spacing w:before="156" w:beforeLines="50" w:line="360" w:lineRule="auto"/>
              <w:rPr>
                <w:rFonts w:ascii="Times New Roman" w:hAnsi="Times New Roman" w:cs="Times New Roman"/>
                <w:sz w:val="24"/>
              </w:rPr>
            </w:pPr>
            <w:r>
              <w:rPr>
                <w:rFonts w:ascii="Times New Roman" w:hAnsi="Times New Roman" w:cs="Times New Roman"/>
                <w:sz w:val="24"/>
              </w:rPr>
              <w:t>Is life-threatening, or in the investigator’s judgment, places the subject at immediate risk of death at the time of the event. (Note: This does not include adverse events that might become life-threatening only if they worsen.)</w:t>
            </w:r>
          </w:p>
        </w:tc>
      </w:tr>
      <w:tr w14:paraId="1DEFF874">
        <w:trPr>
          <w:trHeight w:val="919" w:hRule="atLeast"/>
        </w:trPr>
        <w:tc>
          <w:tcPr>
            <w:tcW w:w="1297" w:type="dxa"/>
            <w:vMerge w:val="continue"/>
            <w:tcBorders>
              <w:left w:val="nil"/>
              <w:right w:val="nil"/>
            </w:tcBorders>
            <w:shd w:val="clear" w:color="auto" w:fill="FFFFFF"/>
            <w:vAlign w:val="center"/>
          </w:tcPr>
          <w:p w14:paraId="0FB611E3">
            <w:pPr>
              <w:spacing w:before="156" w:beforeLines="50" w:line="360" w:lineRule="auto"/>
              <w:rPr>
                <w:rFonts w:ascii="Times New Roman" w:hAnsi="Times New Roman" w:cs="Times New Roman"/>
                <w:sz w:val="24"/>
              </w:rPr>
            </w:pPr>
          </w:p>
        </w:tc>
        <w:tc>
          <w:tcPr>
            <w:tcW w:w="7137" w:type="dxa"/>
            <w:gridSpan w:val="3"/>
            <w:tcBorders>
              <w:top w:val="nil"/>
              <w:left w:val="nil"/>
              <w:bottom w:val="nil"/>
              <w:right w:val="nil"/>
            </w:tcBorders>
            <w:shd w:val="clear" w:color="auto" w:fill="FFFFFF"/>
            <w:vAlign w:val="center"/>
          </w:tcPr>
          <w:p w14:paraId="799C67EF">
            <w:pPr>
              <w:spacing w:before="156" w:beforeLines="50" w:line="360" w:lineRule="auto"/>
              <w:rPr>
                <w:rFonts w:ascii="Times New Roman" w:hAnsi="Times New Roman" w:cs="Times New Roman"/>
                <w:sz w:val="24"/>
              </w:rPr>
            </w:pPr>
            <w:r>
              <w:rPr>
                <w:rFonts w:ascii="Times New Roman" w:hAnsi="Times New Roman" w:cs="Times New Roman"/>
                <w:sz w:val="24"/>
              </w:rPr>
              <w:t>Results in permanent or significant disability/incapacity, substantially interfering with the subject’s ability to perform normal daily activities.</w:t>
            </w:r>
          </w:p>
        </w:tc>
      </w:tr>
      <w:tr w14:paraId="106C3E89">
        <w:trPr>
          <w:trHeight w:val="1449" w:hRule="atLeast"/>
        </w:trPr>
        <w:tc>
          <w:tcPr>
            <w:tcW w:w="1297" w:type="dxa"/>
            <w:vMerge w:val="continue"/>
            <w:tcBorders>
              <w:left w:val="nil"/>
              <w:right w:val="nil"/>
            </w:tcBorders>
            <w:shd w:val="clear" w:color="auto" w:fill="FFFFFF"/>
            <w:vAlign w:val="center"/>
          </w:tcPr>
          <w:p w14:paraId="7E145D0F">
            <w:pPr>
              <w:spacing w:before="156" w:beforeLines="50" w:line="360" w:lineRule="auto"/>
              <w:rPr>
                <w:rFonts w:ascii="Times New Roman" w:hAnsi="Times New Roman" w:cs="Times New Roman"/>
                <w:sz w:val="24"/>
              </w:rPr>
            </w:pPr>
          </w:p>
        </w:tc>
        <w:tc>
          <w:tcPr>
            <w:tcW w:w="7137" w:type="dxa"/>
            <w:gridSpan w:val="3"/>
            <w:tcBorders>
              <w:top w:val="nil"/>
              <w:left w:val="nil"/>
              <w:bottom w:val="nil"/>
              <w:right w:val="nil"/>
            </w:tcBorders>
            <w:shd w:val="clear" w:color="auto" w:fill="FFFFFF"/>
            <w:vAlign w:val="center"/>
          </w:tcPr>
          <w:p w14:paraId="43602ECE">
            <w:pPr>
              <w:spacing w:before="156" w:beforeLines="50" w:line="360" w:lineRule="auto"/>
              <w:rPr>
                <w:rFonts w:ascii="Times New Roman" w:hAnsi="Times New Roman" w:cs="Times New Roman"/>
                <w:sz w:val="24"/>
              </w:rPr>
            </w:pPr>
            <w:r>
              <w:rPr>
                <w:rFonts w:ascii="Times New Roman" w:hAnsi="Times New Roman" w:cs="Times New Roman"/>
                <w:sz w:val="24"/>
              </w:rPr>
              <w:t>Requires or prolongs hospitalization. (Hospitalization is defined as any inpatient admission, regardless of duration, including admissions for precautionary observation. Note: Hospitalization for pre-existing conditions that have not worsened during the study, including planned elective surgeries, does not qualify as a serious adverse event. Pre-existing conditions are those diagnosed prior to the use of the investigational product and documented in the subject’s medical history.)</w:t>
            </w:r>
          </w:p>
        </w:tc>
      </w:tr>
      <w:tr w14:paraId="755DF8F7">
        <w:trPr>
          <w:trHeight w:val="727" w:hRule="atLeast"/>
        </w:trPr>
        <w:tc>
          <w:tcPr>
            <w:tcW w:w="1297" w:type="dxa"/>
            <w:vMerge w:val="continue"/>
            <w:tcBorders>
              <w:left w:val="nil"/>
              <w:right w:val="nil"/>
            </w:tcBorders>
            <w:shd w:val="clear" w:color="auto" w:fill="FFFFFF"/>
            <w:vAlign w:val="center"/>
          </w:tcPr>
          <w:p w14:paraId="0D1841EA">
            <w:pPr>
              <w:spacing w:before="156" w:beforeLines="50" w:line="360" w:lineRule="auto"/>
              <w:rPr>
                <w:rFonts w:ascii="Times New Roman" w:hAnsi="Times New Roman" w:cs="Times New Roman"/>
                <w:sz w:val="24"/>
              </w:rPr>
            </w:pPr>
          </w:p>
        </w:tc>
        <w:tc>
          <w:tcPr>
            <w:tcW w:w="7137" w:type="dxa"/>
            <w:gridSpan w:val="3"/>
            <w:tcBorders>
              <w:top w:val="nil"/>
              <w:left w:val="nil"/>
              <w:bottom w:val="nil"/>
              <w:right w:val="nil"/>
            </w:tcBorders>
            <w:shd w:val="clear" w:color="auto" w:fill="FFFFFF"/>
            <w:vAlign w:val="center"/>
          </w:tcPr>
          <w:p w14:paraId="448D7BDA">
            <w:pPr>
              <w:spacing w:before="156" w:beforeLines="50" w:line="360" w:lineRule="auto"/>
              <w:rPr>
                <w:rFonts w:ascii="Times New Roman" w:hAnsi="Times New Roman" w:cs="Times New Roman"/>
                <w:sz w:val="24"/>
              </w:rPr>
            </w:pPr>
            <w:r>
              <w:rPr>
                <w:rFonts w:ascii="Times New Roman" w:hAnsi="Times New Roman" w:cs="Times New Roman"/>
                <w:sz w:val="24"/>
              </w:rPr>
              <w:t>Causes a congenital anomaly or birth defect in the offspring of subjects exposed to the investigational product, regardless of the time of diagnosis.</w:t>
            </w:r>
          </w:p>
        </w:tc>
      </w:tr>
      <w:tr w14:paraId="1D5FF11A">
        <w:trPr>
          <w:trHeight w:val="1636" w:hRule="atLeast"/>
        </w:trPr>
        <w:tc>
          <w:tcPr>
            <w:tcW w:w="1297" w:type="dxa"/>
            <w:vMerge w:val="continue"/>
            <w:tcBorders>
              <w:left w:val="nil"/>
              <w:bottom w:val="nil"/>
              <w:right w:val="nil"/>
            </w:tcBorders>
            <w:shd w:val="clear" w:color="auto" w:fill="FFFFFF"/>
            <w:vAlign w:val="center"/>
          </w:tcPr>
          <w:p w14:paraId="35014242">
            <w:pPr>
              <w:spacing w:before="156" w:beforeLines="50" w:line="360" w:lineRule="auto"/>
              <w:rPr>
                <w:rFonts w:ascii="Times New Roman" w:hAnsi="Times New Roman" w:cs="Times New Roman"/>
                <w:sz w:val="24"/>
              </w:rPr>
            </w:pPr>
          </w:p>
        </w:tc>
        <w:tc>
          <w:tcPr>
            <w:tcW w:w="7137" w:type="dxa"/>
            <w:gridSpan w:val="3"/>
            <w:tcBorders>
              <w:top w:val="nil"/>
              <w:left w:val="nil"/>
              <w:bottom w:val="nil"/>
              <w:right w:val="nil"/>
            </w:tcBorders>
            <w:shd w:val="clear" w:color="auto" w:fill="FFFFFF"/>
            <w:vAlign w:val="center"/>
          </w:tcPr>
          <w:p w14:paraId="47EC49A2">
            <w:pPr>
              <w:spacing w:before="156" w:beforeLines="50" w:line="360" w:lineRule="auto"/>
              <w:rPr>
                <w:rFonts w:ascii="Times New Roman" w:hAnsi="Times New Roman" w:cs="Times New Roman"/>
                <w:sz w:val="24"/>
              </w:rPr>
            </w:pPr>
            <w:r>
              <w:rPr>
                <w:rFonts w:ascii="Times New Roman" w:hAnsi="Times New Roman" w:cs="Times New Roman"/>
                <w:sz w:val="24"/>
              </w:rPr>
              <w:t>Other medically important events: Although not resulting in death, not immediately life-threatening, and not requiring hospitalization, these events may, based on appropriate medical judgment, jeopardize the subject and may require medical or surgical intervention to prevent any of the outcomes listed above. Such events are also considered serious adverse events.</w:t>
            </w:r>
          </w:p>
        </w:tc>
      </w:tr>
      <w:tr w14:paraId="2A244028">
        <w:trPr>
          <w:trHeight w:val="937" w:hRule="atLeast"/>
        </w:trPr>
        <w:tc>
          <w:tcPr>
            <w:tcW w:w="1297" w:type="dxa"/>
            <w:tcBorders>
              <w:top w:val="nil"/>
              <w:left w:val="nil"/>
              <w:bottom w:val="nil"/>
              <w:right w:val="nil"/>
            </w:tcBorders>
            <w:shd w:val="clear" w:color="auto" w:fill="FFFFFF"/>
            <w:vAlign w:val="center"/>
          </w:tcPr>
          <w:p w14:paraId="53104E80">
            <w:pPr>
              <w:spacing w:before="156" w:beforeLines="50" w:line="360" w:lineRule="auto"/>
              <w:rPr>
                <w:rFonts w:ascii="Times New Roman" w:hAnsi="Times New Roman" w:cs="Times New Roman"/>
                <w:sz w:val="24"/>
              </w:rPr>
            </w:pPr>
            <w:r>
              <w:rPr>
                <w:rFonts w:ascii="Times New Roman" w:hAnsi="Times New Roman" w:cs="Times New Roman"/>
                <w:sz w:val="24"/>
              </w:rPr>
              <w:t>Duration</w:t>
            </w:r>
          </w:p>
        </w:tc>
        <w:tc>
          <w:tcPr>
            <w:tcW w:w="7137" w:type="dxa"/>
            <w:gridSpan w:val="3"/>
            <w:tcBorders>
              <w:top w:val="nil"/>
              <w:left w:val="nil"/>
              <w:bottom w:val="nil"/>
              <w:right w:val="nil"/>
            </w:tcBorders>
            <w:shd w:val="clear" w:color="auto" w:fill="FFFFFF"/>
            <w:vAlign w:val="center"/>
          </w:tcPr>
          <w:p w14:paraId="05A261F4">
            <w:pPr>
              <w:spacing w:before="156" w:beforeLines="50" w:line="360" w:lineRule="auto"/>
              <w:rPr>
                <w:rFonts w:ascii="Times New Roman" w:hAnsi="Times New Roman" w:cs="Times New Roman"/>
                <w:sz w:val="24"/>
              </w:rPr>
            </w:pPr>
            <w:r>
              <w:rPr>
                <w:rFonts w:ascii="Times New Roman" w:hAnsi="Times New Roman" w:cs="Times New Roman"/>
                <w:sz w:val="24"/>
              </w:rPr>
              <w:t>Record the start and end dates of the adverse event. If the duration is less than one day, specify the exact length of time and the appropriate unit.</w:t>
            </w:r>
          </w:p>
        </w:tc>
      </w:tr>
      <w:tr w14:paraId="17E5786F">
        <w:trPr>
          <w:trHeight w:val="813" w:hRule="atLeast"/>
        </w:trPr>
        <w:tc>
          <w:tcPr>
            <w:tcW w:w="1297" w:type="dxa"/>
            <w:tcBorders>
              <w:top w:val="nil"/>
              <w:left w:val="nil"/>
              <w:bottom w:val="nil"/>
              <w:right w:val="nil"/>
            </w:tcBorders>
            <w:shd w:val="clear" w:color="auto" w:fill="FFFFFF"/>
            <w:vAlign w:val="center"/>
          </w:tcPr>
          <w:p w14:paraId="7967389E">
            <w:pPr>
              <w:spacing w:before="156" w:beforeLines="50" w:line="360" w:lineRule="auto"/>
              <w:rPr>
                <w:rFonts w:ascii="Times New Roman" w:hAnsi="Times New Roman" w:cs="Times New Roman"/>
                <w:sz w:val="24"/>
              </w:rPr>
            </w:pPr>
            <w:r>
              <w:rPr>
                <w:rFonts w:ascii="Times New Roman" w:hAnsi="Times New Roman" w:cs="Times New Roman"/>
                <w:sz w:val="24"/>
              </w:rPr>
              <w:t>Action Taken</w:t>
            </w:r>
          </w:p>
        </w:tc>
        <w:tc>
          <w:tcPr>
            <w:tcW w:w="7137" w:type="dxa"/>
            <w:gridSpan w:val="3"/>
            <w:tcBorders>
              <w:top w:val="nil"/>
              <w:left w:val="nil"/>
              <w:bottom w:val="nil"/>
              <w:right w:val="nil"/>
            </w:tcBorders>
            <w:shd w:val="clear" w:color="auto" w:fill="FFFFFF"/>
            <w:vAlign w:val="center"/>
          </w:tcPr>
          <w:p w14:paraId="04EC4B37">
            <w:pPr>
              <w:spacing w:before="156" w:beforeLines="50" w:line="360" w:lineRule="auto"/>
              <w:rPr>
                <w:rFonts w:ascii="Times New Roman" w:hAnsi="Times New Roman" w:cs="Times New Roman"/>
                <w:sz w:val="24"/>
              </w:rPr>
            </w:pPr>
            <w:r>
              <w:rPr>
                <w:rFonts w:ascii="Times New Roman" w:hAnsi="Times New Roman" w:cs="Times New Roman"/>
                <w:sz w:val="24"/>
              </w:rPr>
              <w:t>Indicate whether the adverse event led to discontinuation of the investigational product.</w:t>
            </w:r>
          </w:p>
        </w:tc>
      </w:tr>
      <w:tr w14:paraId="7272B9E5">
        <w:trPr>
          <w:trHeight w:val="4312" w:hRule="atLeast"/>
        </w:trPr>
        <w:tc>
          <w:tcPr>
            <w:tcW w:w="1297" w:type="dxa"/>
            <w:vMerge w:val="restart"/>
            <w:tcBorders>
              <w:top w:val="nil"/>
              <w:left w:val="nil"/>
              <w:right w:val="nil"/>
            </w:tcBorders>
            <w:shd w:val="clear" w:color="auto" w:fill="FFFFFF"/>
            <w:vAlign w:val="center"/>
          </w:tcPr>
          <w:p w14:paraId="6A2CF60E">
            <w:pPr>
              <w:spacing w:before="156" w:beforeLines="50" w:line="360" w:lineRule="auto"/>
              <w:rPr>
                <w:rFonts w:ascii="Times New Roman" w:hAnsi="Times New Roman" w:cs="Times New Roman"/>
                <w:sz w:val="24"/>
              </w:rPr>
            </w:pPr>
            <w:r>
              <w:rPr>
                <w:rFonts w:ascii="Times New Roman" w:hAnsi="Times New Roman" w:cs="Times New Roman"/>
                <w:sz w:val="24"/>
              </w:rPr>
              <w:t>Relationship to Investigational Product</w:t>
            </w:r>
          </w:p>
        </w:tc>
        <w:tc>
          <w:tcPr>
            <w:tcW w:w="7137" w:type="dxa"/>
            <w:gridSpan w:val="3"/>
            <w:tcBorders>
              <w:top w:val="nil"/>
              <w:left w:val="nil"/>
              <w:bottom w:val="nil"/>
              <w:right w:val="nil"/>
            </w:tcBorders>
            <w:shd w:val="clear" w:color="auto" w:fill="FFFFFF"/>
            <w:vAlign w:val="center"/>
          </w:tcPr>
          <w:p w14:paraId="5944AEC6">
            <w:pPr>
              <w:spacing w:before="156" w:beforeLines="50" w:line="360" w:lineRule="auto"/>
              <w:rPr>
                <w:rFonts w:ascii="Times New Roman" w:hAnsi="Times New Roman" w:cs="Times New Roman"/>
                <w:sz w:val="24"/>
              </w:rPr>
            </w:pPr>
            <w:r>
              <w:rPr>
                <w:rFonts w:ascii="Times New Roman" w:hAnsi="Times New Roman" w:cs="Times New Roman"/>
                <w:sz w:val="24"/>
              </w:rPr>
              <w:t>Is the adverse event caused by the investigational product (IP)? A medically qualified investigator must provide a causal assessment of the relationship between the AE and the IP. The investigator should sign and date (or initial) the source documents or worksheets to support the causality assessment recorded on the AE CRF, ensuring that the assessment is made by a medically qualified professional. This signed documentation must be retained within the required regulatory timeframe. The following criteria are intended as reference guidance to assist investigators in evaluating the relationship between the investigational product and the AE based on available information.</w:t>
            </w:r>
            <w:r>
              <w:rPr>
                <w:rFonts w:ascii="Times New Roman" w:hAnsi="Times New Roman" w:cs="Times New Roman"/>
                <w:sz w:val="24"/>
              </w:rPr>
              <w:br w:type="textWrapping"/>
            </w:r>
            <w:r>
              <w:rPr>
                <w:rFonts w:ascii="Times New Roman" w:hAnsi="Times New Roman" w:cs="Times New Roman"/>
                <w:sz w:val="24"/>
              </w:rPr>
              <w:br w:type="textWrapping"/>
            </w:r>
            <w:r>
              <w:rPr>
                <w:rFonts w:ascii="Times New Roman" w:hAnsi="Times New Roman" w:cs="Times New Roman"/>
                <w:sz w:val="24"/>
              </w:rPr>
              <w:t>The following factors are considered when assessing the relationship between the IP and an AE. The stronger and more numerous the factors present, the greater the likelihood that the AE was caused by the investigational product:</w:t>
            </w:r>
          </w:p>
        </w:tc>
      </w:tr>
      <w:tr w14:paraId="26FC5BC0">
        <w:trPr>
          <w:trHeight w:val="1321" w:hRule="atLeast"/>
        </w:trPr>
        <w:tc>
          <w:tcPr>
            <w:tcW w:w="1297" w:type="dxa"/>
            <w:vMerge w:val="continue"/>
            <w:tcBorders>
              <w:left w:val="nil"/>
              <w:right w:val="nil"/>
            </w:tcBorders>
            <w:shd w:val="clear" w:color="auto" w:fill="FFFFFF"/>
            <w:vAlign w:val="center"/>
          </w:tcPr>
          <w:p w14:paraId="74DFE4C1">
            <w:pPr>
              <w:spacing w:before="156" w:beforeLines="50" w:line="360" w:lineRule="auto"/>
              <w:rPr>
                <w:rFonts w:ascii="Times New Roman" w:hAnsi="Times New Roman" w:cs="Times New Roman"/>
                <w:sz w:val="24"/>
              </w:rPr>
            </w:pPr>
          </w:p>
        </w:tc>
        <w:tc>
          <w:tcPr>
            <w:tcW w:w="1183" w:type="dxa"/>
            <w:tcBorders>
              <w:top w:val="nil"/>
              <w:left w:val="nil"/>
              <w:bottom w:val="nil"/>
              <w:right w:val="nil"/>
            </w:tcBorders>
            <w:shd w:val="clear" w:color="auto" w:fill="FFFFFF"/>
            <w:vAlign w:val="center"/>
          </w:tcPr>
          <w:p w14:paraId="1553738F">
            <w:pPr>
              <w:spacing w:before="156" w:beforeLines="50" w:line="360" w:lineRule="auto"/>
              <w:rPr>
                <w:rFonts w:ascii="Times New Roman" w:hAnsi="Times New Roman" w:cs="Times New Roman"/>
                <w:sz w:val="24"/>
              </w:rPr>
            </w:pPr>
            <w:r>
              <w:rPr>
                <w:rFonts w:ascii="Times New Roman" w:hAnsi="Times New Roman" w:cs="Times New Roman"/>
                <w:sz w:val="24"/>
              </w:rPr>
              <w:t>Exposure</w:t>
            </w:r>
          </w:p>
        </w:tc>
        <w:tc>
          <w:tcPr>
            <w:tcW w:w="5954" w:type="dxa"/>
            <w:gridSpan w:val="2"/>
            <w:tcBorders>
              <w:top w:val="nil"/>
              <w:left w:val="nil"/>
              <w:bottom w:val="nil"/>
              <w:right w:val="nil"/>
            </w:tcBorders>
            <w:shd w:val="clear" w:color="auto" w:fill="FFFFFF"/>
            <w:vAlign w:val="center"/>
          </w:tcPr>
          <w:p w14:paraId="24245D30">
            <w:pPr>
              <w:spacing w:before="156" w:beforeLines="50" w:line="360" w:lineRule="auto"/>
              <w:rPr>
                <w:rFonts w:ascii="Times New Roman" w:hAnsi="Times New Roman" w:cs="Times New Roman"/>
                <w:sz w:val="24"/>
              </w:rPr>
            </w:pPr>
            <w:r>
              <w:rPr>
                <w:rFonts w:ascii="Times New Roman" w:hAnsi="Times New Roman" w:cs="Times New Roman"/>
                <w:sz w:val="24"/>
              </w:rPr>
              <w:t>Is there evidence that the subject was actually exposed to the investigational product, such as credible prior history, acceptable compliance assessments (e.g., drug counts, diaries), expected pharmacologic effects, or measurement of the drug/metabolite in collected biological specimens?</w:t>
            </w:r>
          </w:p>
        </w:tc>
      </w:tr>
      <w:tr w14:paraId="6EAE08E3">
        <w:trPr>
          <w:trHeight w:val="976" w:hRule="atLeast"/>
        </w:trPr>
        <w:tc>
          <w:tcPr>
            <w:tcW w:w="1297" w:type="dxa"/>
            <w:vMerge w:val="continue"/>
            <w:tcBorders>
              <w:left w:val="nil"/>
              <w:right w:val="nil"/>
            </w:tcBorders>
            <w:shd w:val="clear" w:color="auto" w:fill="FFFFFF"/>
            <w:vAlign w:val="center"/>
          </w:tcPr>
          <w:p w14:paraId="2C755050">
            <w:pPr>
              <w:spacing w:before="156" w:beforeLines="50" w:line="360" w:lineRule="auto"/>
              <w:rPr>
                <w:rFonts w:ascii="Times New Roman" w:hAnsi="Times New Roman" w:cs="Times New Roman"/>
                <w:sz w:val="24"/>
              </w:rPr>
            </w:pPr>
          </w:p>
        </w:tc>
        <w:tc>
          <w:tcPr>
            <w:tcW w:w="1183" w:type="dxa"/>
            <w:tcBorders>
              <w:top w:val="nil"/>
              <w:left w:val="nil"/>
              <w:bottom w:val="nil"/>
              <w:right w:val="nil"/>
            </w:tcBorders>
            <w:shd w:val="clear" w:color="auto" w:fill="FFFFFF"/>
            <w:vAlign w:val="center"/>
          </w:tcPr>
          <w:p w14:paraId="7D389E92">
            <w:pPr>
              <w:spacing w:before="156" w:beforeLines="50" w:line="360" w:lineRule="auto"/>
              <w:rPr>
                <w:rFonts w:ascii="Times New Roman" w:hAnsi="Times New Roman" w:cs="Times New Roman"/>
                <w:sz w:val="24"/>
              </w:rPr>
            </w:pPr>
            <w:r>
              <w:rPr>
                <w:rFonts w:ascii="Times New Roman" w:hAnsi="Times New Roman" w:cs="Times New Roman"/>
                <w:sz w:val="24"/>
              </w:rPr>
              <w:t>Temporal Relationship</w:t>
            </w:r>
          </w:p>
        </w:tc>
        <w:tc>
          <w:tcPr>
            <w:tcW w:w="5954" w:type="dxa"/>
            <w:gridSpan w:val="2"/>
            <w:tcBorders>
              <w:top w:val="nil"/>
              <w:left w:val="nil"/>
              <w:bottom w:val="nil"/>
              <w:right w:val="nil"/>
            </w:tcBorders>
            <w:shd w:val="clear" w:color="auto" w:fill="FFFFFF"/>
            <w:vAlign w:val="center"/>
          </w:tcPr>
          <w:p w14:paraId="55CF967D">
            <w:pPr>
              <w:spacing w:before="156" w:beforeLines="50" w:line="360" w:lineRule="auto"/>
              <w:rPr>
                <w:rFonts w:ascii="Times New Roman" w:hAnsi="Times New Roman" w:cs="Times New Roman"/>
                <w:sz w:val="24"/>
              </w:rPr>
            </w:pPr>
            <w:r>
              <w:rPr>
                <w:rFonts w:ascii="Times New Roman" w:hAnsi="Times New Roman" w:cs="Times New Roman"/>
                <w:sz w:val="24"/>
              </w:rPr>
              <w:t>Is there a reasonable temporal sequence between the administration of the investigational product and the occurrence of the AE?</w:t>
            </w:r>
            <w:r>
              <w:rPr>
                <w:rFonts w:ascii="Times New Roman" w:hAnsi="Times New Roman" w:cs="Times New Roman"/>
                <w:sz w:val="24"/>
              </w:rPr>
              <w:br w:type="textWrapping"/>
            </w:r>
            <w:r>
              <w:rPr>
                <w:rFonts w:ascii="Times New Roman" w:hAnsi="Times New Roman" w:cs="Times New Roman"/>
                <w:sz w:val="24"/>
              </w:rPr>
              <w:t>Does the timing of the AE correspond to the expected time course for drug-induced events?</w:t>
            </w:r>
          </w:p>
        </w:tc>
      </w:tr>
      <w:tr w14:paraId="2C42E95D">
        <w:trPr>
          <w:trHeight w:val="1158" w:hRule="atLeast"/>
        </w:trPr>
        <w:tc>
          <w:tcPr>
            <w:tcW w:w="1297" w:type="dxa"/>
            <w:vMerge w:val="continue"/>
            <w:tcBorders>
              <w:left w:val="nil"/>
              <w:right w:val="nil"/>
            </w:tcBorders>
            <w:shd w:val="clear" w:color="auto" w:fill="FFFFFF"/>
            <w:vAlign w:val="center"/>
          </w:tcPr>
          <w:p w14:paraId="45965D9C">
            <w:pPr>
              <w:spacing w:before="156" w:beforeLines="50" w:line="360" w:lineRule="auto"/>
              <w:rPr>
                <w:rFonts w:ascii="Times New Roman" w:hAnsi="Times New Roman" w:cs="Times New Roman"/>
                <w:sz w:val="24"/>
              </w:rPr>
            </w:pPr>
          </w:p>
        </w:tc>
        <w:tc>
          <w:tcPr>
            <w:tcW w:w="1183" w:type="dxa"/>
            <w:tcBorders>
              <w:top w:val="nil"/>
              <w:left w:val="nil"/>
              <w:bottom w:val="nil"/>
              <w:right w:val="nil"/>
            </w:tcBorders>
            <w:shd w:val="clear" w:color="auto" w:fill="FFFFFF"/>
            <w:vAlign w:val="center"/>
          </w:tcPr>
          <w:p w14:paraId="52FD89A9">
            <w:pPr>
              <w:spacing w:before="156" w:beforeLines="50" w:line="360" w:lineRule="auto"/>
              <w:rPr>
                <w:rFonts w:ascii="Times New Roman" w:hAnsi="Times New Roman" w:cs="Times New Roman"/>
                <w:sz w:val="24"/>
              </w:rPr>
            </w:pPr>
            <w:r>
              <w:rPr>
                <w:rFonts w:ascii="Times New Roman" w:hAnsi="Times New Roman" w:cs="Times New Roman"/>
                <w:sz w:val="24"/>
              </w:rPr>
              <w:t>Alternative Causes</w:t>
            </w:r>
          </w:p>
        </w:tc>
        <w:tc>
          <w:tcPr>
            <w:tcW w:w="5954" w:type="dxa"/>
            <w:gridSpan w:val="2"/>
            <w:tcBorders>
              <w:top w:val="nil"/>
              <w:left w:val="nil"/>
              <w:bottom w:val="nil"/>
              <w:right w:val="nil"/>
            </w:tcBorders>
            <w:shd w:val="clear" w:color="auto" w:fill="FFFFFF"/>
            <w:vAlign w:val="center"/>
          </w:tcPr>
          <w:p w14:paraId="1BE9576B">
            <w:pPr>
              <w:spacing w:before="156" w:beforeLines="50" w:line="360" w:lineRule="auto"/>
              <w:rPr>
                <w:rFonts w:ascii="Times New Roman" w:hAnsi="Times New Roman" w:cs="Times New Roman"/>
                <w:sz w:val="24"/>
              </w:rPr>
            </w:pPr>
            <w:r>
              <w:rPr>
                <w:rFonts w:ascii="Times New Roman" w:hAnsi="Times New Roman" w:cs="Times New Roman"/>
                <w:sz w:val="24"/>
              </w:rPr>
              <w:t>Can the AE be reasonably explained by other factors, such as underlying disease, concomitant medications or vaccines, or other host or environmental factors?</w:t>
            </w:r>
          </w:p>
        </w:tc>
      </w:tr>
      <w:tr w14:paraId="78BC71A1">
        <w:trPr>
          <w:trHeight w:val="90" w:hRule="atLeast"/>
        </w:trPr>
        <w:tc>
          <w:tcPr>
            <w:tcW w:w="1297" w:type="dxa"/>
            <w:vMerge w:val="continue"/>
            <w:tcBorders>
              <w:left w:val="nil"/>
              <w:right w:val="nil"/>
            </w:tcBorders>
            <w:shd w:val="clear" w:color="auto" w:fill="FFFFFF"/>
            <w:vAlign w:val="center"/>
          </w:tcPr>
          <w:p w14:paraId="54968D9B">
            <w:pPr>
              <w:spacing w:before="156" w:beforeLines="50" w:line="360" w:lineRule="auto"/>
              <w:rPr>
                <w:rFonts w:ascii="Times New Roman" w:hAnsi="Times New Roman" w:cs="Times New Roman"/>
                <w:sz w:val="24"/>
              </w:rPr>
            </w:pPr>
          </w:p>
        </w:tc>
        <w:tc>
          <w:tcPr>
            <w:tcW w:w="1183" w:type="dxa"/>
            <w:tcBorders>
              <w:top w:val="nil"/>
              <w:left w:val="nil"/>
              <w:bottom w:val="nil"/>
              <w:right w:val="nil"/>
            </w:tcBorders>
            <w:shd w:val="clear" w:color="auto" w:fill="FFFFFF"/>
            <w:vAlign w:val="center"/>
          </w:tcPr>
          <w:p w14:paraId="6F5D8E45">
            <w:pPr>
              <w:spacing w:before="156" w:beforeLines="50" w:line="360" w:lineRule="auto"/>
              <w:rPr>
                <w:rFonts w:ascii="Times New Roman" w:hAnsi="Times New Roman" w:cs="Times New Roman"/>
                <w:sz w:val="24"/>
              </w:rPr>
            </w:pPr>
            <w:r>
              <w:rPr>
                <w:rFonts w:ascii="Times New Roman" w:hAnsi="Times New Roman" w:cs="Times New Roman"/>
                <w:sz w:val="24"/>
              </w:rPr>
              <w:t>Dechallenge</w:t>
            </w:r>
          </w:p>
        </w:tc>
        <w:tc>
          <w:tcPr>
            <w:tcW w:w="5954" w:type="dxa"/>
            <w:gridSpan w:val="2"/>
            <w:tcBorders>
              <w:top w:val="nil"/>
              <w:left w:val="nil"/>
              <w:bottom w:val="nil"/>
              <w:right w:val="nil"/>
            </w:tcBorders>
            <w:shd w:val="clear" w:color="auto" w:fill="FFFFFF"/>
            <w:vAlign w:val="center"/>
          </w:tcPr>
          <w:p w14:paraId="45D89568">
            <w:pPr>
              <w:spacing w:before="156" w:beforeLines="50" w:line="360" w:lineRule="auto"/>
              <w:rPr>
                <w:rFonts w:ascii="Times New Roman" w:hAnsi="Times New Roman" w:cs="Times New Roman"/>
                <w:sz w:val="24"/>
              </w:rPr>
            </w:pPr>
            <w:r>
              <w:rPr>
                <w:rFonts w:ascii="Times New Roman" w:hAnsi="Times New Roman" w:cs="Times New Roman"/>
                <w:sz w:val="24"/>
              </w:rPr>
              <w:t>Was the investigational product discontinued, or was the dose/exposure/frequency reduced?</w:t>
            </w:r>
            <w:r>
              <w:rPr>
                <w:rFonts w:ascii="Times New Roman" w:hAnsi="Times New Roman" w:cs="Times New Roman"/>
                <w:sz w:val="24"/>
              </w:rPr>
              <w:br w:type="textWrapping"/>
            </w:r>
            <w:r>
              <w:rPr>
                <w:rFonts w:ascii="Times New Roman" w:hAnsi="Times New Roman" w:cs="Times New Roman"/>
                <w:sz w:val="24"/>
              </w:rPr>
              <w:t>If yes, did the AE resolve or improve?</w:t>
            </w:r>
            <w:r>
              <w:rPr>
                <w:rFonts w:ascii="Times New Roman" w:hAnsi="Times New Roman" w:cs="Times New Roman"/>
                <w:sz w:val="24"/>
              </w:rPr>
              <w:br w:type="textWrapping"/>
            </w:r>
            <w:r>
              <w:rPr>
                <w:rFonts w:ascii="Times New Roman" w:hAnsi="Times New Roman" w:cs="Times New Roman"/>
                <w:sz w:val="24"/>
              </w:rPr>
              <w:t>If yes, the dechallenge is considered positive.</w:t>
            </w:r>
            <w:r>
              <w:rPr>
                <w:rFonts w:ascii="Times New Roman" w:hAnsi="Times New Roman" w:cs="Times New Roman"/>
                <w:sz w:val="24"/>
              </w:rPr>
              <w:br w:type="textWrapping"/>
            </w:r>
            <w:r>
              <w:rPr>
                <w:rFonts w:ascii="Times New Roman" w:hAnsi="Times New Roman" w:cs="Times New Roman"/>
                <w:sz w:val="24"/>
              </w:rPr>
              <w:t>If no, the dechallenge is considered negative.</w:t>
            </w:r>
            <w:r>
              <w:rPr>
                <w:rFonts w:ascii="Times New Roman" w:hAnsi="Times New Roman" w:cs="Times New Roman"/>
                <w:sz w:val="24"/>
              </w:rPr>
              <w:br w:type="textWrapping"/>
            </w:r>
            <w:r>
              <w:rPr>
                <w:rFonts w:ascii="Times New Roman" w:hAnsi="Times New Roman" w:cs="Times New Roman"/>
                <w:sz w:val="24"/>
              </w:rPr>
              <w:t>Note: This criterion is not applicable if:</w:t>
            </w:r>
            <w:r>
              <w:rPr>
                <w:rFonts w:ascii="Times New Roman" w:hAnsi="Times New Roman" w:cs="Times New Roman"/>
                <w:sz w:val="24"/>
              </w:rPr>
              <w:br w:type="textWrapping"/>
            </w:r>
            <w:r>
              <w:rPr>
                <w:rFonts w:ascii="Times New Roman" w:hAnsi="Times New Roman" w:cs="Times New Roman"/>
                <w:sz w:val="24"/>
              </w:rPr>
              <w:t>· the AE resulted in death or permanent disability;</w:t>
            </w:r>
            <w:r>
              <w:rPr>
                <w:rFonts w:ascii="Times New Roman" w:hAnsi="Times New Roman" w:cs="Times New Roman"/>
                <w:sz w:val="24"/>
              </w:rPr>
              <w:br w:type="textWrapping"/>
            </w:r>
            <w:r>
              <w:rPr>
                <w:rFonts w:ascii="Times New Roman" w:hAnsi="Times New Roman" w:cs="Times New Roman"/>
                <w:sz w:val="24"/>
              </w:rPr>
              <w:t>·the AE resolved or improved despite continued administration of the investigational product;</w:t>
            </w:r>
            <w:r>
              <w:rPr>
                <w:rFonts w:ascii="Times New Roman" w:hAnsi="Times New Roman" w:cs="Times New Roman"/>
                <w:sz w:val="24"/>
              </w:rPr>
              <w:br w:type="textWrapping"/>
            </w:r>
            <w:r>
              <w:rPr>
                <w:rFonts w:ascii="Times New Roman" w:hAnsi="Times New Roman" w:cs="Times New Roman"/>
                <w:sz w:val="24"/>
              </w:rPr>
              <w:t>·the study involves a single-dose administration;</w:t>
            </w:r>
            <w:r>
              <w:rPr>
                <w:rFonts w:ascii="Times New Roman" w:hAnsi="Times New Roman" w:cs="Times New Roman"/>
                <w:sz w:val="24"/>
              </w:rPr>
              <w:br w:type="textWrapping"/>
            </w:r>
            <w:r>
              <w:rPr>
                <w:rFonts w:ascii="Times New Roman" w:hAnsi="Times New Roman" w:cs="Times New Roman"/>
                <w:sz w:val="24"/>
              </w:rPr>
              <w:t>·the investigational product was only administered once.</w:t>
            </w:r>
          </w:p>
        </w:tc>
      </w:tr>
      <w:tr w14:paraId="51D1723A">
        <w:trPr>
          <w:trHeight w:val="4639" w:hRule="atLeast"/>
        </w:trPr>
        <w:tc>
          <w:tcPr>
            <w:tcW w:w="1297" w:type="dxa"/>
            <w:vMerge w:val="continue"/>
            <w:tcBorders>
              <w:left w:val="nil"/>
              <w:right w:val="nil"/>
            </w:tcBorders>
            <w:shd w:val="clear" w:color="auto" w:fill="FFFFFF"/>
            <w:vAlign w:val="center"/>
          </w:tcPr>
          <w:p w14:paraId="10380537">
            <w:pPr>
              <w:spacing w:before="156" w:beforeLines="50" w:line="360" w:lineRule="auto"/>
              <w:rPr>
                <w:rFonts w:ascii="Times New Roman" w:hAnsi="Times New Roman" w:cs="Times New Roman"/>
                <w:sz w:val="24"/>
              </w:rPr>
            </w:pPr>
          </w:p>
        </w:tc>
        <w:tc>
          <w:tcPr>
            <w:tcW w:w="1183" w:type="dxa"/>
            <w:tcBorders>
              <w:top w:val="nil"/>
              <w:left w:val="nil"/>
              <w:bottom w:val="nil"/>
              <w:right w:val="nil"/>
            </w:tcBorders>
            <w:shd w:val="clear" w:color="auto" w:fill="FFFFFF"/>
            <w:vAlign w:val="center"/>
          </w:tcPr>
          <w:p w14:paraId="30ED5760">
            <w:pPr>
              <w:spacing w:before="156" w:beforeLines="50" w:line="360" w:lineRule="auto"/>
              <w:rPr>
                <w:rFonts w:ascii="Times New Roman" w:hAnsi="Times New Roman" w:cs="Times New Roman"/>
                <w:sz w:val="24"/>
              </w:rPr>
            </w:pPr>
            <w:r>
              <w:rPr>
                <w:rFonts w:ascii="Times New Roman" w:hAnsi="Times New Roman" w:cs="Times New Roman"/>
                <w:sz w:val="24"/>
              </w:rPr>
              <w:t>Rechallenge</w:t>
            </w:r>
          </w:p>
        </w:tc>
        <w:tc>
          <w:tcPr>
            <w:tcW w:w="5954" w:type="dxa"/>
            <w:gridSpan w:val="2"/>
            <w:tcBorders>
              <w:top w:val="nil"/>
              <w:left w:val="nil"/>
              <w:bottom w:val="nil"/>
              <w:right w:val="nil"/>
            </w:tcBorders>
            <w:shd w:val="clear" w:color="auto" w:fill="FFFFFF"/>
            <w:vAlign w:val="center"/>
          </w:tcPr>
          <w:p w14:paraId="3C079F7E">
            <w:pPr>
              <w:spacing w:before="156" w:beforeLines="50" w:line="360" w:lineRule="auto"/>
              <w:rPr>
                <w:rFonts w:ascii="Times New Roman" w:hAnsi="Times New Roman" w:cs="Times New Roman"/>
                <w:sz w:val="24"/>
              </w:rPr>
            </w:pPr>
            <w:r>
              <w:rPr>
                <w:rFonts w:ascii="Times New Roman" w:hAnsi="Times New Roman" w:cs="Times New Roman"/>
                <w:sz w:val="24"/>
              </w:rPr>
              <w:t>Was the subject re-exposed to the investigational product during the study?</w:t>
            </w:r>
            <w:r>
              <w:rPr>
                <w:rFonts w:ascii="Times New Roman" w:hAnsi="Times New Roman" w:cs="Times New Roman"/>
                <w:sz w:val="24"/>
              </w:rPr>
              <w:br w:type="textWrapping"/>
            </w:r>
            <w:r>
              <w:rPr>
                <w:rFonts w:ascii="Times New Roman" w:hAnsi="Times New Roman" w:cs="Times New Roman"/>
                <w:sz w:val="24"/>
              </w:rPr>
              <w:t>If yes, did the AE recur or worsen?</w:t>
            </w:r>
            <w:r>
              <w:rPr>
                <w:rFonts w:ascii="Times New Roman" w:hAnsi="Times New Roman" w:cs="Times New Roman"/>
                <w:sz w:val="24"/>
              </w:rPr>
              <w:br w:type="textWrapping"/>
            </w:r>
            <w:r>
              <w:rPr>
                <w:rFonts w:ascii="Times New Roman" w:hAnsi="Times New Roman" w:cs="Times New Roman"/>
                <w:sz w:val="24"/>
              </w:rPr>
              <w:t>If yes, the rechallenge is considered positive.</w:t>
            </w:r>
            <w:r>
              <w:rPr>
                <w:rFonts w:ascii="Times New Roman" w:hAnsi="Times New Roman" w:cs="Times New Roman"/>
                <w:sz w:val="24"/>
              </w:rPr>
              <w:br w:type="textWrapping"/>
            </w:r>
            <w:r>
              <w:rPr>
                <w:rFonts w:ascii="Times New Roman" w:hAnsi="Times New Roman" w:cs="Times New Roman"/>
                <w:sz w:val="24"/>
              </w:rPr>
              <w:t>If no, the rechallenge is considered negative.</w:t>
            </w:r>
            <w:r>
              <w:rPr>
                <w:rFonts w:ascii="Times New Roman" w:hAnsi="Times New Roman" w:cs="Times New Roman"/>
                <w:sz w:val="24"/>
              </w:rPr>
              <w:br w:type="textWrapping"/>
            </w:r>
            <w:r>
              <w:rPr>
                <w:rFonts w:ascii="Times New Roman" w:hAnsi="Times New Roman" w:cs="Times New Roman"/>
                <w:sz w:val="24"/>
              </w:rPr>
              <w:t>Note: This criterion is not applicable if:</w:t>
            </w:r>
            <w:r>
              <w:rPr>
                <w:rFonts w:ascii="Times New Roman" w:hAnsi="Times New Roman" w:cs="Times New Roman"/>
                <w:sz w:val="24"/>
              </w:rPr>
              <w:br w:type="textWrapping"/>
            </w:r>
            <w:r>
              <w:rPr>
                <w:rFonts w:ascii="Times New Roman" w:hAnsi="Times New Roman" w:cs="Times New Roman"/>
                <w:sz w:val="24"/>
              </w:rPr>
              <w:t>·the initial AE resulted in death or permanent disability;</w:t>
            </w:r>
            <w:r>
              <w:rPr>
                <w:rFonts w:ascii="Times New Roman" w:hAnsi="Times New Roman" w:cs="Times New Roman"/>
                <w:sz w:val="24"/>
              </w:rPr>
              <w:br w:type="textWrapping"/>
            </w:r>
            <w:r>
              <w:rPr>
                <w:rFonts w:ascii="Times New Roman" w:hAnsi="Times New Roman" w:cs="Times New Roman"/>
                <w:sz w:val="24"/>
              </w:rPr>
              <w:t>·the study involves a single-dose administration;</w:t>
            </w:r>
            <w:r>
              <w:rPr>
                <w:rFonts w:ascii="Times New Roman" w:hAnsi="Times New Roman" w:cs="Times New Roman"/>
                <w:sz w:val="24"/>
              </w:rPr>
              <w:br w:type="textWrapping"/>
            </w:r>
            <w:r>
              <w:rPr>
                <w:rFonts w:ascii="Times New Roman" w:hAnsi="Times New Roman" w:cs="Times New Roman"/>
                <w:sz w:val="24"/>
              </w:rPr>
              <w:t>·the investigational product was only administered once.</w:t>
            </w:r>
            <w:r>
              <w:rPr>
                <w:rFonts w:ascii="Times New Roman" w:hAnsi="Times New Roman" w:cs="Times New Roman"/>
                <w:sz w:val="24"/>
              </w:rPr>
              <w:br w:type="textWrapping"/>
            </w:r>
            <w:r>
              <w:rPr>
                <w:rFonts w:ascii="Times New Roman" w:hAnsi="Times New Roman" w:cs="Times New Roman"/>
                <w:sz w:val="24"/>
              </w:rPr>
              <w:br w:type="textWrapping"/>
            </w:r>
            <w:r>
              <w:rPr>
                <w:rFonts w:ascii="Times New Roman" w:hAnsi="Times New Roman" w:cs="Times New Roman"/>
                <w:sz w:val="24"/>
              </w:rPr>
              <w:t>Note: Rechallenge for serious AEs that are suspected to be drug-related may pose significant risk to the subject. Rechallenge should not be performed unless continued treatment is expected to be beneficial and no alternative therapy is available, and only with prior approval from the sponsor.</w:t>
            </w:r>
          </w:p>
        </w:tc>
      </w:tr>
      <w:tr w14:paraId="0BEC6C9E">
        <w:trPr>
          <w:trHeight w:val="1274" w:hRule="atLeast"/>
        </w:trPr>
        <w:tc>
          <w:tcPr>
            <w:tcW w:w="1297" w:type="dxa"/>
            <w:vMerge w:val="continue"/>
            <w:tcBorders>
              <w:left w:val="nil"/>
              <w:bottom w:val="nil"/>
              <w:right w:val="nil"/>
            </w:tcBorders>
            <w:shd w:val="clear" w:color="auto" w:fill="FFFFFF"/>
            <w:vAlign w:val="center"/>
          </w:tcPr>
          <w:p w14:paraId="16274618">
            <w:pPr>
              <w:spacing w:before="156" w:beforeLines="50" w:line="360" w:lineRule="auto"/>
              <w:rPr>
                <w:rFonts w:ascii="Times New Roman" w:hAnsi="Times New Roman" w:cs="Times New Roman"/>
                <w:sz w:val="24"/>
              </w:rPr>
            </w:pPr>
          </w:p>
        </w:tc>
        <w:tc>
          <w:tcPr>
            <w:tcW w:w="1183" w:type="dxa"/>
            <w:tcBorders>
              <w:top w:val="nil"/>
              <w:left w:val="nil"/>
              <w:bottom w:val="nil"/>
              <w:right w:val="nil"/>
            </w:tcBorders>
            <w:shd w:val="clear" w:color="auto" w:fill="FFFFFF"/>
            <w:vAlign w:val="center"/>
          </w:tcPr>
          <w:p w14:paraId="269D018E">
            <w:pPr>
              <w:spacing w:before="156" w:beforeLines="50" w:line="360" w:lineRule="auto"/>
              <w:rPr>
                <w:rFonts w:ascii="Times New Roman" w:hAnsi="Times New Roman" w:cs="Times New Roman"/>
                <w:sz w:val="24"/>
              </w:rPr>
            </w:pPr>
            <w:r>
              <w:rPr>
                <w:rFonts w:ascii="Times New Roman" w:hAnsi="Times New Roman" w:cs="Times New Roman"/>
                <w:sz w:val="24"/>
              </w:rPr>
              <w:t>Consistency with Known Characteristics of the Investigational Product</w:t>
            </w:r>
          </w:p>
        </w:tc>
        <w:tc>
          <w:tcPr>
            <w:tcW w:w="5954" w:type="dxa"/>
            <w:gridSpan w:val="2"/>
            <w:tcBorders>
              <w:top w:val="nil"/>
              <w:left w:val="nil"/>
              <w:bottom w:val="nil"/>
              <w:right w:val="nil"/>
            </w:tcBorders>
            <w:shd w:val="clear" w:color="auto" w:fill="FFFFFF"/>
            <w:vAlign w:val="center"/>
          </w:tcPr>
          <w:p w14:paraId="4BF855F5">
            <w:pPr>
              <w:spacing w:before="156" w:beforeLines="50" w:line="360" w:lineRule="auto"/>
              <w:rPr>
                <w:rFonts w:ascii="Times New Roman" w:hAnsi="Times New Roman" w:cs="Times New Roman"/>
                <w:sz w:val="24"/>
              </w:rPr>
            </w:pPr>
            <w:r>
              <w:rPr>
                <w:rFonts w:ascii="Times New Roman" w:hAnsi="Times New Roman" w:cs="Times New Roman"/>
                <w:sz w:val="24"/>
              </w:rPr>
              <w:t>Are the clinical and/or pathological features of the AE consistent with previously observed pharmacologic or toxicologic data for the investigational product or similar drugs?</w:t>
            </w:r>
          </w:p>
        </w:tc>
      </w:tr>
      <w:tr w14:paraId="3021F1AE">
        <w:trPr>
          <w:trHeight w:val="1052" w:hRule="atLeast"/>
        </w:trPr>
        <w:tc>
          <w:tcPr>
            <w:tcW w:w="8434" w:type="dxa"/>
            <w:gridSpan w:val="4"/>
            <w:tcBorders>
              <w:top w:val="nil"/>
              <w:left w:val="nil"/>
              <w:bottom w:val="nil"/>
              <w:right w:val="nil"/>
            </w:tcBorders>
            <w:shd w:val="clear" w:color="auto" w:fill="FFFFFF"/>
            <w:vAlign w:val="center"/>
          </w:tcPr>
          <w:p w14:paraId="22B7E1E6">
            <w:pPr>
              <w:spacing w:before="156" w:beforeLines="50" w:line="360" w:lineRule="auto"/>
              <w:rPr>
                <w:rFonts w:ascii="Times New Roman" w:hAnsi="Times New Roman" w:cs="Times New Roman"/>
                <w:sz w:val="24"/>
              </w:rPr>
            </w:pPr>
            <w:r>
              <w:rPr>
                <w:rFonts w:ascii="Times New Roman" w:hAnsi="Times New Roman" w:cs="Times New Roman"/>
                <w:sz w:val="24"/>
              </w:rPr>
              <w:t>Researchers with medical qualifications will report the assessment results of the relationship in the case report form/worksheet based on their best clinical judgment, including consideration of the above factors.</w:t>
            </w:r>
          </w:p>
        </w:tc>
      </w:tr>
      <w:tr w14:paraId="4411E931">
        <w:trPr>
          <w:trHeight w:val="542" w:hRule="atLeast"/>
        </w:trPr>
        <w:tc>
          <w:tcPr>
            <w:tcW w:w="1297" w:type="dxa"/>
            <w:tcBorders>
              <w:top w:val="nil"/>
              <w:left w:val="nil"/>
              <w:bottom w:val="nil"/>
              <w:right w:val="nil"/>
            </w:tcBorders>
            <w:shd w:val="clear" w:color="auto" w:fill="FFFFFF"/>
            <w:vAlign w:val="center"/>
          </w:tcPr>
          <w:p w14:paraId="5889865F">
            <w:pPr>
              <w:spacing w:before="156" w:beforeLines="50" w:line="360" w:lineRule="auto"/>
              <w:rPr>
                <w:rFonts w:ascii="Times New Roman" w:hAnsi="Times New Roman" w:cs="Times New Roman"/>
                <w:sz w:val="24"/>
              </w:rPr>
            </w:pPr>
            <w:r>
              <w:rPr>
                <w:rFonts w:ascii="Times New Roman" w:hAnsi="Times New Roman" w:cs="Times New Roman"/>
                <w:sz w:val="24"/>
              </w:rPr>
              <w:t>Record causality</w:t>
            </w:r>
          </w:p>
        </w:tc>
        <w:tc>
          <w:tcPr>
            <w:tcW w:w="7137" w:type="dxa"/>
            <w:gridSpan w:val="3"/>
            <w:tcBorders>
              <w:top w:val="nil"/>
              <w:left w:val="nil"/>
              <w:bottom w:val="nil"/>
              <w:right w:val="nil"/>
            </w:tcBorders>
            <w:shd w:val="clear" w:color="auto" w:fill="FFFFFF"/>
            <w:vAlign w:val="center"/>
          </w:tcPr>
          <w:p w14:paraId="07D32A23">
            <w:pPr>
              <w:spacing w:before="156" w:beforeLines="50" w:line="360" w:lineRule="auto"/>
              <w:rPr>
                <w:rFonts w:ascii="Times New Roman" w:hAnsi="Times New Roman" w:cs="Times New Roman"/>
                <w:sz w:val="24"/>
              </w:rPr>
            </w:pPr>
            <w:r>
              <w:rPr>
                <w:rFonts w:ascii="Times New Roman" w:hAnsi="Times New Roman" w:cs="Times New Roman"/>
                <w:sz w:val="24"/>
              </w:rPr>
              <w:t>The following table can be used to assess causality (not all criteria need to be met)</w:t>
            </w:r>
          </w:p>
        </w:tc>
      </w:tr>
      <w:tr w14:paraId="29418A0A">
        <w:trPr>
          <w:trHeight w:val="1375" w:hRule="atLeast"/>
        </w:trPr>
        <w:tc>
          <w:tcPr>
            <w:tcW w:w="1297" w:type="dxa"/>
            <w:tcBorders>
              <w:top w:val="nil"/>
              <w:left w:val="nil"/>
              <w:bottom w:val="nil"/>
              <w:right w:val="nil"/>
            </w:tcBorders>
            <w:shd w:val="clear" w:color="auto" w:fill="FFFFFF"/>
            <w:vAlign w:val="center"/>
          </w:tcPr>
          <w:p w14:paraId="2DC9FE0B">
            <w:pPr>
              <w:spacing w:before="156" w:beforeLines="50" w:line="360" w:lineRule="auto"/>
              <w:rPr>
                <w:rFonts w:ascii="Times New Roman" w:hAnsi="Times New Roman" w:cs="Times New Roman"/>
                <w:sz w:val="24"/>
              </w:rPr>
            </w:pPr>
            <w:r>
              <w:rPr>
                <w:rFonts w:ascii="Times New Roman" w:hAnsi="Times New Roman" w:cs="Times New Roman"/>
                <w:sz w:val="24"/>
              </w:rPr>
              <w:t>Related</w:t>
            </w:r>
          </w:p>
        </w:tc>
        <w:tc>
          <w:tcPr>
            <w:tcW w:w="7137" w:type="dxa"/>
            <w:gridSpan w:val="3"/>
            <w:tcBorders>
              <w:top w:val="nil"/>
              <w:left w:val="nil"/>
              <w:bottom w:val="nil"/>
              <w:right w:val="nil"/>
            </w:tcBorders>
            <w:shd w:val="clear" w:color="auto" w:fill="FFFFFF"/>
            <w:vAlign w:val="center"/>
          </w:tcPr>
          <w:p w14:paraId="50D69BE1">
            <w:pPr>
              <w:spacing w:before="156" w:beforeLines="50" w:line="360" w:lineRule="auto"/>
              <w:rPr>
                <w:rFonts w:ascii="Times New Roman" w:hAnsi="Times New Roman" w:cs="Times New Roman"/>
                <w:sz w:val="24"/>
              </w:rPr>
            </w:pPr>
            <w:r>
              <w:rPr>
                <w:rFonts w:ascii="Times New Roman" w:hAnsi="Times New Roman" w:cs="Times New Roman"/>
                <w:sz w:val="24"/>
              </w:rPr>
              <w:t>There is evidence of exposure to the study drug. The temporal sequence between the occurrence of the AE and the administration of the study drug is reasonable. The AE is more likely to be explained by the study drug than by other causes.</w:t>
            </w:r>
          </w:p>
        </w:tc>
      </w:tr>
      <w:tr w14:paraId="0614F281">
        <w:trPr>
          <w:trHeight w:val="90" w:hRule="atLeast"/>
        </w:trPr>
        <w:tc>
          <w:tcPr>
            <w:tcW w:w="1297" w:type="dxa"/>
            <w:tcBorders>
              <w:top w:val="nil"/>
              <w:left w:val="nil"/>
              <w:bottom w:val="nil"/>
              <w:right w:val="nil"/>
            </w:tcBorders>
            <w:shd w:val="clear" w:color="auto" w:fill="FFFFFF"/>
            <w:vAlign w:val="center"/>
          </w:tcPr>
          <w:p w14:paraId="067FCEFD">
            <w:pPr>
              <w:spacing w:before="156" w:beforeLines="50" w:line="360" w:lineRule="auto"/>
              <w:rPr>
                <w:rFonts w:ascii="Times New Roman" w:hAnsi="Times New Roman" w:cs="Times New Roman"/>
                <w:sz w:val="24"/>
              </w:rPr>
            </w:pPr>
            <w:r>
              <w:rPr>
                <w:rFonts w:ascii="Times New Roman" w:hAnsi="Times New Roman" w:cs="Times New Roman"/>
                <w:sz w:val="24"/>
              </w:rPr>
              <w:t>Irrelevant</w:t>
            </w:r>
          </w:p>
        </w:tc>
        <w:tc>
          <w:tcPr>
            <w:tcW w:w="7137" w:type="dxa"/>
            <w:gridSpan w:val="3"/>
            <w:tcBorders>
              <w:top w:val="nil"/>
              <w:left w:val="nil"/>
              <w:bottom w:val="nil"/>
              <w:right w:val="nil"/>
            </w:tcBorders>
            <w:shd w:val="clear" w:color="auto" w:fill="FFFFFF"/>
            <w:vAlign w:val="center"/>
          </w:tcPr>
          <w:p w14:paraId="71FBD554">
            <w:pPr>
              <w:spacing w:before="156" w:beforeLines="50" w:line="360" w:lineRule="auto"/>
              <w:rPr>
                <w:rFonts w:ascii="Times New Roman" w:hAnsi="Times New Roman" w:cs="Times New Roman"/>
                <w:sz w:val="24"/>
              </w:rPr>
            </w:pPr>
            <w:r>
              <w:rPr>
                <w:rFonts w:ascii="Times New Roman" w:hAnsi="Times New Roman" w:cs="Times New Roman"/>
                <w:sz w:val="24"/>
              </w:rPr>
              <w:t>The subject did not receive the study drug, or the timing of the study drug administration is inconsistent with the occurrence of the AE, or other causes are more likely to explain the adverse event than the study drug (this also applies to subjects who received an overdose of the study drug but did not experience related adverse events).</w:t>
            </w:r>
          </w:p>
        </w:tc>
      </w:tr>
    </w:tbl>
    <w:p w14:paraId="45B29224">
      <w:pPr>
        <w:pStyle w:val="4"/>
        <w:spacing w:line="360" w:lineRule="auto"/>
        <w:ind w:firstLineChars="200"/>
        <w:rPr>
          <w:rFonts w:hint="default" w:ascii="Times New Roman" w:hAnsi="Times New Roman"/>
        </w:rPr>
      </w:pPr>
      <w:bookmarkStart w:id="119" w:name="_Toc911998333"/>
      <w:r>
        <w:rPr>
          <w:rFonts w:hint="default" w:ascii="Times New Roman" w:hAnsi="Times New Roman"/>
        </w:rPr>
        <w:t>13.4 Recording of Adverse Events</w:t>
      </w:r>
      <w:bookmarkEnd w:id="119"/>
    </w:p>
    <w:p w14:paraId="52465284">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Investigators should record adverse events or serious adverse events using appropriate medical terminology or concepts. Colloquial terms and abbreviations should be avoided. All AEs, including SAEs, must be documented in the adverse events section of the eCRF.</w:t>
      </w:r>
    </w:p>
    <w:p w14:paraId="6ED5A278">
      <w:pPr>
        <w:pStyle w:val="4"/>
        <w:spacing w:line="360" w:lineRule="auto"/>
        <w:ind w:firstLineChars="200"/>
        <w:rPr>
          <w:rFonts w:hint="default" w:ascii="Times New Roman" w:hAnsi="Times New Roman"/>
        </w:rPr>
      </w:pPr>
      <w:bookmarkStart w:id="120" w:name="_Toc1365194092"/>
      <w:r>
        <w:rPr>
          <w:rFonts w:hint="default" w:ascii="Times New Roman" w:hAnsi="Times New Roman"/>
        </w:rPr>
        <w:t>13.5 AE Collection Period</w:t>
      </w:r>
      <w:bookmarkEnd w:id="120"/>
    </w:p>
    <w:p w14:paraId="5672016A">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Investigators will collect AEs by asking subjects non-leading questions. All AEs, including SAEs, observed by the investigator or spontaneously reported by the subject, must be collected from the time the informed consent form (ICF) is signed until 90 days after the last dose of study drug. After this 90-day period, investigators should continue to report SAEs considered related to the study drug or study procedures.</w:t>
      </w:r>
    </w:p>
    <w:p w14:paraId="11C20825">
      <w:pPr>
        <w:pStyle w:val="4"/>
        <w:spacing w:line="360" w:lineRule="auto"/>
        <w:ind w:firstLineChars="200"/>
        <w:rPr>
          <w:rFonts w:hint="default" w:ascii="Times New Roman" w:hAnsi="Times New Roman"/>
        </w:rPr>
      </w:pPr>
      <w:bookmarkStart w:id="121" w:name="_Toc1101819696"/>
      <w:r>
        <w:rPr>
          <w:rFonts w:hint="default" w:ascii="Times New Roman" w:hAnsi="Times New Roman"/>
        </w:rPr>
        <w:t>13.6 AE Follow-Up</w:t>
      </w:r>
      <w:bookmarkEnd w:id="121"/>
    </w:p>
    <w:p w14:paraId="59F652F8">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AEs should be followed until resolution, return to baseline, or grade 1, or until the investigator determines that further follow-up is not required for a valid reason (e.g., the AE cannot resolve or has already improved). If an AE does not resolve, a reasonable explanation should be documented in the eCRF. Regardless of its relationship to the study drug, the resolution status and date of all AEs or SAEs must be recorded in the eCRF and the subject’s medical record.</w:t>
      </w:r>
    </w:p>
    <w:p w14:paraId="142DA51B">
      <w:pPr>
        <w:pStyle w:val="4"/>
        <w:spacing w:line="360" w:lineRule="auto"/>
        <w:ind w:firstLineChars="200"/>
        <w:rPr>
          <w:rFonts w:hint="default" w:ascii="Times New Roman" w:hAnsi="Times New Roman"/>
        </w:rPr>
      </w:pPr>
      <w:bookmarkStart w:id="122" w:name="_Toc532142591"/>
      <w:r>
        <w:rPr>
          <w:rFonts w:hint="default" w:ascii="Times New Roman" w:hAnsi="Times New Roman"/>
        </w:rPr>
        <w:t>13.7 Content of AE Documentation</w:t>
      </w:r>
      <w:bookmarkEnd w:id="122"/>
    </w:p>
    <w:p w14:paraId="717B96DD">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Investigators must comprehensively document each AE, including: Diagnosis (or, if no diagnosis is available, the symptoms and signs, including abnormal laboratory results); Start and end dates and times (if applicable); CTCAE grade and changes (for grade ≥3 events); Whether the AE is a SAE; Actions taken with respect to the study drug; Treatments administered for the AE; Outcome of the event; Relationship of the AE to the study drug.</w:t>
      </w:r>
    </w:p>
    <w:p w14:paraId="370F05CC">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For SAEs, investigators must additionally provide: Dates when the AE met SAE criteria and when the investigator became aware of the SAE; Basis for classifying the AE as an SAE; Hospital admission and discharge dates; Possible cause of death and date, if applicable; Whether an autopsy was performed; Causality assessments related to study procedures and other concomitant medications; Other possible contributing factors; Rationale for the causality assessment and a detailed SAE description.</w:t>
      </w:r>
    </w:p>
    <w:p w14:paraId="77320F05">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The SAE description should include the subject’s identification number, age, sex, height, weight; indication for study drug treatment and disease stage; relevant overall medical status; clinical course including onset, progression, and outcome of the SAE; related laboratory results (with date, units, and reference ranges); relevant medical history, comorbidities, and their onset and duration; medication history and concomitant medications including start date, duration, dosage, and route of administration; and details of study drug treatment including start date, duration, dosage, and route.</w:t>
      </w:r>
    </w:p>
    <w:p w14:paraId="17D146FB">
      <w:pPr>
        <w:pStyle w:val="4"/>
        <w:spacing w:line="360" w:lineRule="auto"/>
        <w:ind w:firstLineChars="200"/>
        <w:rPr>
          <w:rFonts w:hint="default" w:ascii="Times New Roman" w:hAnsi="Times New Roman"/>
        </w:rPr>
      </w:pPr>
      <w:bookmarkStart w:id="123" w:name="_Toc1598620829"/>
      <w:r>
        <w:rPr>
          <w:rFonts w:hint="default" w:ascii="Times New Roman" w:hAnsi="Times New Roman"/>
        </w:rPr>
        <w:t>13.7.1 Diagnosis, Symptoms, and Signs</w:t>
      </w:r>
      <w:bookmarkEnd w:id="123"/>
    </w:p>
    <w:p w14:paraId="6F4A82C2">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If a diagnosis has been established, record the diagnosis in the eCRF rather than individual symptoms and signs (e.g., record “hepatic failure” rather than “jaundice, elevated transaminases, flapping tremor”). If symptoms and signs cannot be attributed to a diagnosis at the time of reporting, record them as separate AEs/SAEs. If symptoms and signs are attributable to a diagnosis, report only the diagnosis; symptoms and signs are considered part of the diagnosis. For AEs, remove individual symptom and sign records; for SAEs, submit follow-up update reports.</w:t>
      </w:r>
    </w:p>
    <w:p w14:paraId="5A4C0A2D">
      <w:pPr>
        <w:pStyle w:val="4"/>
        <w:spacing w:line="360" w:lineRule="auto"/>
        <w:ind w:firstLineChars="200"/>
        <w:rPr>
          <w:rFonts w:hint="default" w:ascii="Times New Roman" w:hAnsi="Times New Roman"/>
        </w:rPr>
      </w:pPr>
      <w:bookmarkStart w:id="124" w:name="_Toc852365386"/>
      <w:r>
        <w:rPr>
          <w:rFonts w:hint="default" w:ascii="Times New Roman" w:hAnsi="Times New Roman"/>
        </w:rPr>
        <w:t>13.7.2 Secondary AEs</w:t>
      </w:r>
      <w:bookmarkEnd w:id="124"/>
    </w:p>
    <w:p w14:paraId="6B1DC756">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AEs secondary to another event (e.g., caused by another event or as a clinical sequela) should generally be recorded under the primary event, unless the secondary AE is severe or an SAE. Secondary events with clinical significance occurring at a different time from the primary event should be recorded as independent AEs in the eCRF. If the relationship between events is unclear, record them separately in the eCRF.</w:t>
      </w:r>
    </w:p>
    <w:p w14:paraId="2CAFEC80">
      <w:pPr>
        <w:pStyle w:val="4"/>
        <w:spacing w:line="360" w:lineRule="auto"/>
        <w:ind w:firstLineChars="200"/>
        <w:rPr>
          <w:rFonts w:hint="default" w:ascii="Times New Roman" w:hAnsi="Times New Roman"/>
        </w:rPr>
      </w:pPr>
      <w:bookmarkStart w:id="125" w:name="_Toc1989117012"/>
      <w:r>
        <w:rPr>
          <w:rFonts w:hint="default" w:ascii="Times New Roman" w:hAnsi="Times New Roman"/>
        </w:rPr>
        <w:t>13.7.3 Persistent or Recurrent AEs</w:t>
      </w:r>
      <w:bookmarkEnd w:id="125"/>
    </w:p>
    <w:p w14:paraId="72EC7511">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Persistent AEs, defined as those that continue without resolution between two assessment time points, should be recorded once in the eCRF. Document the initial severity and update if the event worsens. Recurrent AEs, defined as events that resolve between assessments but recur later, should be recorded separately for each occurrence.</w:t>
      </w:r>
    </w:p>
    <w:p w14:paraId="0AC3ED03">
      <w:pPr>
        <w:pStyle w:val="4"/>
        <w:spacing w:line="360" w:lineRule="auto"/>
        <w:ind w:firstLineChars="200"/>
        <w:rPr>
          <w:rFonts w:hint="default" w:ascii="Times New Roman" w:hAnsi="Times New Roman"/>
        </w:rPr>
      </w:pPr>
      <w:bookmarkStart w:id="126" w:name="_Toc1211687835"/>
      <w:r>
        <w:rPr>
          <w:rFonts w:hint="default" w:ascii="Times New Roman" w:hAnsi="Times New Roman"/>
        </w:rPr>
        <w:t>13.7.4 Laboratory Abnormalities</w:t>
      </w:r>
      <w:bookmarkEnd w:id="126"/>
    </w:p>
    <w:p w14:paraId="31B24A7D">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Clinically significant laboratory abnormalities should be reported as AEs. Investigators must review all laboratory results and exercise medical judgment to determine whether each abnormality constitutes an AE.</w:t>
      </w:r>
    </w:p>
    <w:p w14:paraId="3F63C87F">
      <w:pPr>
        <w:pStyle w:val="4"/>
        <w:spacing w:line="360" w:lineRule="auto"/>
        <w:ind w:firstLineChars="200"/>
        <w:rPr>
          <w:rFonts w:hint="default" w:ascii="Times New Roman" w:hAnsi="Times New Roman"/>
        </w:rPr>
      </w:pPr>
      <w:bookmarkStart w:id="127" w:name="_Toc250018344"/>
      <w:r>
        <w:rPr>
          <w:rFonts w:hint="default" w:ascii="Times New Roman" w:hAnsi="Times New Roman"/>
        </w:rPr>
        <w:t>13.7.5 Death</w:t>
      </w:r>
      <w:bookmarkEnd w:id="127"/>
    </w:p>
    <w:p w14:paraId="0D2589DA">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All deaths occurring during the trial, including the 90-day post-last-dose follow-up, must be recorded in the eCRF Death Report Form and promptly reported to the sponsor, regardless of relationship to the study drug.If the cause of death is known, record the cause as an AE with outcome “death” and report as an SAE.If the cause is unknown, record as “death, unknown cause” in the eCRF, report as an SAE, and further investigate the exact cause.</w:t>
      </w:r>
    </w:p>
    <w:p w14:paraId="27D83BC2">
      <w:pPr>
        <w:pStyle w:val="4"/>
        <w:spacing w:line="360" w:lineRule="auto"/>
        <w:ind w:firstLineChars="200"/>
        <w:rPr>
          <w:rFonts w:hint="default" w:ascii="Times New Roman" w:hAnsi="Times New Roman"/>
        </w:rPr>
      </w:pPr>
      <w:bookmarkStart w:id="128" w:name="_Toc1580294076"/>
      <w:r>
        <w:rPr>
          <w:rFonts w:hint="default" w:ascii="Times New Roman" w:hAnsi="Times New Roman"/>
        </w:rPr>
        <w:t>13.7.6 Pre-existing Medical Conditions</w:t>
      </w:r>
      <w:bookmarkEnd w:id="128"/>
    </w:p>
    <w:p w14:paraId="6D42710B">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Symptoms or signs present during screening should only be recorded and reported as AEs if their severity, frequency, or nature worsens after study entry (excluding progression of the disease under investigation). Changes relative to baseline should be clearly documented (e.g., “increased frequency of headaches”).</w:t>
      </w:r>
    </w:p>
    <w:p w14:paraId="52DE2A7D">
      <w:pPr>
        <w:pStyle w:val="4"/>
        <w:spacing w:line="360" w:lineRule="auto"/>
        <w:ind w:firstLineChars="200"/>
        <w:rPr>
          <w:rFonts w:hint="default" w:ascii="Times New Roman" w:hAnsi="Times New Roman"/>
        </w:rPr>
      </w:pPr>
      <w:bookmarkStart w:id="129" w:name="_Toc2072272883"/>
      <w:r>
        <w:rPr>
          <w:rFonts w:hint="default" w:ascii="Times New Roman" w:hAnsi="Times New Roman"/>
        </w:rPr>
        <w:t>13.7.7 Disease Progression</w:t>
      </w:r>
      <w:bookmarkEnd w:id="129"/>
    </w:p>
    <w:p w14:paraId="22E2A3E6">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Disease progression, defined as worsening due to the primary tumor targeted by the investigational drug, development of new lesions, or progression of existing lesions, is not reported as an AE. Death, life-threatening events, hospitalization, permanent disability, congenital anomalies, or other medically significant events resulting from expected disease progression are not reported as SAEs.</w:t>
      </w:r>
    </w:p>
    <w:p w14:paraId="7D2FEE41">
      <w:pPr>
        <w:pStyle w:val="4"/>
        <w:spacing w:line="360" w:lineRule="auto"/>
        <w:ind w:firstLineChars="200"/>
        <w:rPr>
          <w:rFonts w:hint="default" w:ascii="Times New Roman" w:hAnsi="Times New Roman"/>
        </w:rPr>
      </w:pPr>
      <w:bookmarkStart w:id="130" w:name="_Toc800557535"/>
      <w:r>
        <w:rPr>
          <w:rFonts w:hint="default" w:ascii="Times New Roman" w:hAnsi="Times New Roman"/>
        </w:rPr>
        <w:t>13.7.8 New Antitumor Therapy</w:t>
      </w:r>
      <w:bookmarkEnd w:id="130"/>
    </w:p>
    <w:p w14:paraId="7586FA41">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Within 90 days of the last study drug administration, only SAEs considered related to the study drug should be recorded and reported if the subject initiates new antitumor therapy.</w:t>
      </w:r>
    </w:p>
    <w:p w14:paraId="5053A413">
      <w:pPr>
        <w:pStyle w:val="4"/>
        <w:spacing w:line="360" w:lineRule="auto"/>
        <w:ind w:firstLineChars="200"/>
        <w:rPr>
          <w:rFonts w:hint="default" w:ascii="Times New Roman" w:hAnsi="Times New Roman"/>
        </w:rPr>
      </w:pPr>
      <w:bookmarkStart w:id="131" w:name="_Toc985442290"/>
      <w:r>
        <w:rPr>
          <w:rFonts w:hint="default" w:ascii="Times New Roman" w:hAnsi="Times New Roman"/>
        </w:rPr>
        <w:t>13.8 Rapid Reporting of SAEs and Pregnancy</w:t>
      </w:r>
      <w:bookmarkEnd w:id="131"/>
    </w:p>
    <w:p w14:paraId="1147E5C0">
      <w:pPr>
        <w:pStyle w:val="4"/>
        <w:spacing w:line="360" w:lineRule="auto"/>
        <w:ind w:firstLineChars="200"/>
        <w:rPr>
          <w:rFonts w:hint="default" w:ascii="Times New Roman" w:hAnsi="Times New Roman"/>
        </w:rPr>
      </w:pPr>
      <w:bookmarkStart w:id="132" w:name="_Toc934682366"/>
      <w:r>
        <w:rPr>
          <w:rFonts w:hint="default" w:ascii="Times New Roman" w:hAnsi="Times New Roman"/>
        </w:rPr>
        <w:t>13.8.1 SAE Reporting</w:t>
      </w:r>
      <w:bookmarkEnd w:id="132"/>
    </w:p>
    <w:p w14:paraId="1840ED76">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SAEs occurring from ICF signing to 90 days post-last-dose must be reported within 24 hours of awareness using the SAE Report Form to the sponsor, ethics committee, and national regulatory authorities. SAEs occurring after this period, if deemed related to the study drug, must also be reported.</w:t>
      </w:r>
    </w:p>
    <w:p w14:paraId="20FC3099">
      <w:pPr>
        <w:pStyle w:val="4"/>
        <w:spacing w:line="360" w:lineRule="auto"/>
        <w:ind w:firstLineChars="200"/>
        <w:rPr>
          <w:rFonts w:hint="default" w:ascii="Times New Roman" w:hAnsi="Times New Roman"/>
        </w:rPr>
      </w:pPr>
      <w:bookmarkStart w:id="133" w:name="_Toc363647557"/>
      <w:r>
        <w:rPr>
          <w:rFonts w:hint="default" w:ascii="Times New Roman" w:hAnsi="Times New Roman"/>
        </w:rPr>
        <w:t>13.8.2 Pregnancy</w:t>
      </w:r>
      <w:bookmarkEnd w:id="133"/>
    </w:p>
    <w:p w14:paraId="54BD4E5C">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Due to potential embryotoxicity, all subjects of reproductive potential must use effective contraception during the trial. Female subjects exposed to the study drug who become pregnant must discontinue the trial and report the pregnancy to the sponsor within 24 hours of awareness. If a male subject’s partner becomes pregnant during the trial, the subject may continue in the trial, but the pregnancy must be reported within 24 hours. Investigators must monitor pregnancies and follow up on outcomes until 8 weeks postpartum, reporting results to the sponsor and Innovent Biologics. Pregnancy outcomes such as stillbirth, spontaneous abortion, congenital anomaly/birth defect, or medically indicated termination are considered SAEs and must be reported accordingly. Any SAE occurring during pregnancy must be reported per SAE procedures.</w:t>
      </w:r>
    </w:p>
    <w:p w14:paraId="2937E23A">
      <w:pPr>
        <w:pStyle w:val="2"/>
        <w:spacing w:line="360" w:lineRule="auto"/>
        <w:ind w:firstLineChars="200"/>
        <w:rPr>
          <w:rFonts w:ascii="Times New Roman" w:hAnsi="Times New Roman" w:cs="Times New Roman"/>
        </w:rPr>
      </w:pPr>
      <w:bookmarkStart w:id="134" w:name="_Toc719384943"/>
      <w:bookmarkStart w:id="135" w:name="_Toc86031137"/>
      <w:r>
        <w:rPr>
          <w:rFonts w:ascii="Times New Roman" w:hAnsi="Times New Roman" w:cs="Times New Roman"/>
        </w:rPr>
        <w:t>14 Statistical Analysis Plan</w:t>
      </w:r>
      <w:bookmarkEnd w:id="134"/>
      <w:bookmarkEnd w:id="135"/>
    </w:p>
    <w:p w14:paraId="24DC5187">
      <w:pPr>
        <w:pStyle w:val="4"/>
        <w:spacing w:line="360" w:lineRule="auto"/>
        <w:ind w:firstLineChars="200"/>
        <w:rPr>
          <w:rFonts w:hint="default" w:ascii="Times New Roman" w:hAnsi="Times New Roman"/>
        </w:rPr>
      </w:pPr>
      <w:bookmarkStart w:id="136" w:name="_Toc668825128"/>
      <w:r>
        <w:rPr>
          <w:rFonts w:hint="default" w:ascii="Times New Roman" w:hAnsi="Times New Roman"/>
        </w:rPr>
        <w:t>14.1 Overview of the Study Design</w:t>
      </w:r>
      <w:bookmarkEnd w:id="136"/>
    </w:p>
    <w:p w14:paraId="13D9EDD5">
      <w:pPr>
        <w:spacing w:before="156" w:beforeLines="50" w:line="360" w:lineRule="auto"/>
        <w:ind w:firstLine="480" w:firstLineChars="200"/>
        <w:rPr>
          <w:rFonts w:ascii="Times New Roman" w:hAnsi="Times New Roman" w:cs="Times New Roman"/>
        </w:rPr>
      </w:pPr>
      <w:r>
        <w:rPr>
          <w:rFonts w:ascii="Times New Roman" w:hAnsi="Times New Roman" w:cs="Times New Roman"/>
          <w:sz w:val="24"/>
        </w:rPr>
        <w:t xml:space="preserve">This is a prospective, phase II, single-arm study evaluating patients with unresectable or </w:t>
      </w:r>
      <w:r>
        <w:rPr>
          <w:rFonts w:ascii="Times New Roman" w:hAnsi="Times New Roman" w:cs="Times New Roman"/>
          <w:sz w:val="24"/>
          <w:lang w:val="en-US"/>
        </w:rPr>
        <w:t xml:space="preserve">stage III </w:t>
      </w:r>
      <w:r>
        <w:rPr>
          <w:rFonts w:ascii="Times New Roman" w:hAnsi="Times New Roman" w:cs="Times New Roman"/>
          <w:sz w:val="24"/>
        </w:rPr>
        <w:t xml:space="preserve">non-small cell lung cancer (NSCLC) who are receiving cCRT. A total of 41 patients will be enrolled. All participants will receive two cycles of induction therapy with </w:t>
      </w:r>
      <w:r>
        <w:rPr>
          <w:rFonts w:ascii="Times New Roman" w:hAnsi="Times New Roman" w:cs="Times New Roman"/>
          <w:sz w:val="24"/>
          <w:lang w:val="en-US"/>
        </w:rPr>
        <w:t>Cadonilimab</w:t>
      </w:r>
      <w:r>
        <w:rPr>
          <w:rFonts w:ascii="Times New Roman" w:hAnsi="Times New Roman" w:cs="Times New Roman"/>
          <w:sz w:val="24"/>
        </w:rPr>
        <w:t xml:space="preserve"> (AK104) in combination with platinum-based chemotherapy, followed by standard cCRT (definitive thoracic radiotherapy plus 2 cycles of concurrent platinum-based chemotherapy). Subsequently, patients will receive </w:t>
      </w:r>
      <w:r>
        <w:rPr>
          <w:rFonts w:ascii="Times New Roman" w:hAnsi="Times New Roman" w:cs="Times New Roman"/>
          <w:sz w:val="24"/>
          <w:lang w:val="en-US"/>
        </w:rPr>
        <w:t>Cadonilimab</w:t>
      </w:r>
      <w:r>
        <w:rPr>
          <w:rFonts w:ascii="Times New Roman" w:hAnsi="Times New Roman" w:cs="Times New Roman"/>
          <w:sz w:val="24"/>
        </w:rPr>
        <w:t xml:space="preserve"> (AK104) consolidation therapy for up to one year, or until disease progression, unacceptable toxicity, death, withdrawal of informed consent, whichever occurs first.</w:t>
      </w:r>
    </w:p>
    <w:p w14:paraId="4F60B218">
      <w:pPr>
        <w:pStyle w:val="4"/>
        <w:spacing w:line="360" w:lineRule="auto"/>
        <w:ind w:firstLineChars="200"/>
        <w:rPr>
          <w:rFonts w:hint="default" w:ascii="Times New Roman" w:hAnsi="Times New Roman"/>
        </w:rPr>
      </w:pPr>
      <w:bookmarkStart w:id="137" w:name="_Toc1014517898"/>
      <w:r>
        <w:rPr>
          <w:rFonts w:hint="default" w:ascii="Times New Roman" w:hAnsi="Times New Roman"/>
        </w:rPr>
        <w:t>14.2 Analysis Endpoints</w:t>
      </w:r>
      <w:bookmarkEnd w:id="137"/>
    </w:p>
    <w:p w14:paraId="4BE9DB80">
      <w:pPr>
        <w:pStyle w:val="4"/>
        <w:spacing w:line="360" w:lineRule="auto"/>
        <w:ind w:firstLineChars="200"/>
        <w:rPr>
          <w:rFonts w:hint="default" w:ascii="Times New Roman" w:hAnsi="Times New Roman"/>
        </w:rPr>
      </w:pPr>
      <w:bookmarkStart w:id="138" w:name="_Toc2129638153"/>
      <w:r>
        <w:rPr>
          <w:rFonts w:hint="default" w:ascii="Times New Roman" w:hAnsi="Times New Roman"/>
        </w:rPr>
        <w:t>14.2.1 Primary Endpoints</w:t>
      </w:r>
      <w:bookmarkEnd w:id="138"/>
    </w:p>
    <w:p w14:paraId="46B24F9A">
      <w:pPr>
        <w:numPr>
          <w:ilvl w:val="0"/>
          <w:numId w:val="8"/>
        </w:num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 xml:space="preserve">year PFS rate in the modified ITT population (PFS1): Proportion of patients in the modified ITT population (all received at least one dose of induction </w:t>
      </w:r>
      <w:r>
        <w:rPr>
          <w:rFonts w:ascii="Times New Roman" w:hAnsi="Times New Roman" w:cs="Times New Roman"/>
          <w:sz w:val="24"/>
          <w:lang w:val="en-US"/>
        </w:rPr>
        <w:t>Cadonilimab</w:t>
      </w:r>
      <w:r>
        <w:rPr>
          <w:rFonts w:ascii="Times New Roman" w:hAnsi="Times New Roman" w:cs="Times New Roman"/>
          <w:sz w:val="24"/>
        </w:rPr>
        <w:t xml:space="preserve"> therapy) who had no disease progression or death within 1 year from enrollment.</w:t>
      </w:r>
    </w:p>
    <w:p w14:paraId="05DDE680">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 xml:space="preserve">1-year PFS rate in the immune consolidation candidate population (PFS2): Proportion of patients in the immune consolidation candidate population (no progressive disease after cCRT, no unresolved ≥ grade 2 non-hematologic toxicities, eligible for </w:t>
      </w:r>
      <w:r>
        <w:rPr>
          <w:rFonts w:ascii="Times New Roman" w:hAnsi="Times New Roman" w:cs="Times New Roman"/>
          <w:sz w:val="24"/>
          <w:lang w:val="en-US"/>
        </w:rPr>
        <w:t>Cadonilimab</w:t>
      </w:r>
      <w:r>
        <w:rPr>
          <w:rFonts w:ascii="Times New Roman" w:hAnsi="Times New Roman" w:cs="Times New Roman"/>
          <w:sz w:val="24"/>
        </w:rPr>
        <w:t xml:space="preserve"> consolidation) who had no disease progression or death within 1 year from cCRT completion.</w:t>
      </w:r>
    </w:p>
    <w:p w14:paraId="3B118121">
      <w:pPr>
        <w:pStyle w:val="4"/>
        <w:spacing w:line="360" w:lineRule="auto"/>
        <w:ind w:firstLineChars="200"/>
        <w:rPr>
          <w:rFonts w:hint="default" w:ascii="Times New Roman" w:hAnsi="Times New Roman"/>
        </w:rPr>
      </w:pPr>
      <w:bookmarkStart w:id="139" w:name="_Toc718492922"/>
      <w:r>
        <w:rPr>
          <w:rFonts w:hint="default" w:ascii="Times New Roman" w:hAnsi="Times New Roman"/>
        </w:rPr>
        <w:t>14.2.2 Secondary Endpoints</w:t>
      </w:r>
      <w:bookmarkEnd w:id="139"/>
    </w:p>
    <w:p w14:paraId="0A6B317B">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Objective response rate prior to cCRT: Proportion of patients in the modified ITT population with CR/PR after 2 cycles of AK104 + chemotherapy (per RECIST v1.1).</w:t>
      </w:r>
    </w:p>
    <w:p w14:paraId="4D481A0E">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 xml:space="preserve">Overall ORR: Proportion of modified ITT patients with CR/PR as best overall response after the full regimen (induction </w:t>
      </w:r>
      <w:r>
        <w:rPr>
          <w:rFonts w:hint="eastAsia" w:ascii="Times New Roman" w:hAnsi="Times New Roman" w:cs="Times New Roman"/>
          <w:sz w:val="24"/>
        </w:rPr>
        <w:t>chemo</w:t>
      </w:r>
      <w:r>
        <w:rPr>
          <w:rFonts w:ascii="Times New Roman" w:hAnsi="Times New Roman" w:cs="Times New Roman"/>
          <w:sz w:val="24"/>
        </w:rPr>
        <w:t>immunotherapy, cCRT, consolidation immunotherapy; per RECIST v1.1).</w:t>
      </w:r>
    </w:p>
    <w:p w14:paraId="5B444B29">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Disease control rate prior to cCRT: Proportion of modified ITT patients with CR/PR/SD after 2 cycles of AK104 + chemotherapy (per RECIST v1.1).</w:t>
      </w:r>
    </w:p>
    <w:p w14:paraId="5C9B992B">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Overall DCR: Proportion of modified ITT patients with CR/PR/SD as best overall response after the full regimen (per RECIST v1.1).</w:t>
      </w:r>
    </w:p>
    <w:p w14:paraId="57D5C5BA">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 xml:space="preserve">Proportion of patients receiving consolidation immunotherapy: Proportion of modified ITT patients who received ≥1 dose of </w:t>
      </w:r>
      <w:r>
        <w:rPr>
          <w:rFonts w:ascii="Times New Roman" w:hAnsi="Times New Roman" w:cs="Times New Roman"/>
          <w:sz w:val="24"/>
          <w:lang w:val="en-US"/>
        </w:rPr>
        <w:t>Cadonilimab</w:t>
      </w:r>
      <w:r>
        <w:rPr>
          <w:rFonts w:ascii="Times New Roman" w:hAnsi="Times New Roman" w:cs="Times New Roman"/>
          <w:sz w:val="24"/>
        </w:rPr>
        <w:t xml:space="preserve"> consolidation therapy.</w:t>
      </w:r>
    </w:p>
    <w:p w14:paraId="26762334">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Overall survival: Time from enrollment to death (any cause) in modified ITT; alive patients censored at last contact.</w:t>
      </w:r>
    </w:p>
    <w:p w14:paraId="13D9FA54">
      <w:pPr>
        <w:spacing w:before="156" w:beforeLines="50" w:line="360" w:lineRule="auto"/>
        <w:ind w:firstLine="480" w:firstLineChars="200"/>
        <w:rPr>
          <w:rFonts w:ascii="Times New Roman" w:hAnsi="Times New Roman" w:cs="Times New Roman"/>
          <w:sz w:val="24"/>
          <w:highlight w:val="yellow"/>
        </w:rPr>
      </w:pPr>
      <w:r>
        <w:rPr>
          <w:rFonts w:ascii="Times New Roman" w:hAnsi="Times New Roman" w:cs="Times New Roman"/>
          <w:sz w:val="24"/>
        </w:rPr>
        <w:t>Incidence of treatment-related adverse events: Proportion of modified ITT patients with treatment-related toxicities (assessed by CTCAE v5.0).</w:t>
      </w:r>
    </w:p>
    <w:p w14:paraId="6853AEBD">
      <w:pPr>
        <w:pStyle w:val="4"/>
        <w:spacing w:line="360" w:lineRule="auto"/>
        <w:ind w:firstLineChars="200"/>
        <w:rPr>
          <w:rFonts w:hint="default" w:ascii="Times New Roman" w:hAnsi="Times New Roman"/>
        </w:rPr>
      </w:pPr>
      <w:bookmarkStart w:id="140" w:name="_Toc409992973"/>
      <w:r>
        <w:rPr>
          <w:rFonts w:hint="default" w:ascii="Times New Roman" w:hAnsi="Times New Roman"/>
        </w:rPr>
        <w:t>14.2.3 Exploratory Endpoints</w:t>
      </w:r>
      <w:bookmarkEnd w:id="140"/>
    </w:p>
    <w:p w14:paraId="1103A425">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Examine the role of immunologic signatures for positive and negative predictive value and to explore predictive and prognostic biomarkers related to treatment efficacy, survival outcomes, and treatment-related adverse events.</w:t>
      </w:r>
    </w:p>
    <w:p w14:paraId="77EA039F">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Multi-panel immunohistochemistry, NanoString/RNA-Seq/RT-PCR expression profiling, whole exome and T cell receptor sequencing, flow cytometry, and cytokine and chemokine markers will be assessed in blood and in FFPE tissue. Additionally, whole blood and serum will be obtained at study entry and at crucial time-points for additional evaluation of circulating tumor DNA (ctDNA).</w:t>
      </w:r>
    </w:p>
    <w:p w14:paraId="74B7C385">
      <w:pPr>
        <w:pStyle w:val="4"/>
        <w:spacing w:line="360" w:lineRule="auto"/>
        <w:ind w:firstLineChars="200"/>
        <w:rPr>
          <w:rFonts w:hint="default" w:ascii="Times New Roman" w:hAnsi="Times New Roman"/>
        </w:rPr>
      </w:pPr>
      <w:bookmarkStart w:id="141" w:name="_Toc1624357635"/>
      <w:r>
        <w:rPr>
          <w:rFonts w:hint="default" w:ascii="Times New Roman" w:hAnsi="Times New Roman"/>
        </w:rPr>
        <w:t>14.3 Analysis Populations</w:t>
      </w:r>
      <w:bookmarkEnd w:id="141"/>
    </w:p>
    <w:p w14:paraId="4A5C700A">
      <w:pPr>
        <w:pStyle w:val="4"/>
        <w:spacing w:line="360" w:lineRule="auto"/>
        <w:ind w:firstLineChars="200"/>
        <w:rPr>
          <w:rFonts w:hint="default" w:ascii="Times New Roman" w:hAnsi="Times New Roman"/>
        </w:rPr>
      </w:pPr>
      <w:bookmarkStart w:id="142" w:name="_Toc1766650781"/>
      <w:r>
        <w:rPr>
          <w:rFonts w:hint="default" w:ascii="Times New Roman" w:hAnsi="Times New Roman"/>
        </w:rPr>
        <w:t>14.3.1 Efficacy Analysis Populations</w:t>
      </w:r>
      <w:bookmarkEnd w:id="142"/>
    </w:p>
    <w:p w14:paraId="064A1A52">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 xml:space="preserve">The modified ITT population and the immune consolidation candidate population will serve as the populations for the PFS1 and PFS2 analysis, respectively. All enrolled participants who received at least 1 dose of study treatment will be included in the modified ITT population. The immune consolidation candidate population consist of patients who have no progressive disease after cCRT, no unresolved ≥ grade 2 non-hematologic toxicities, and are eligible for </w:t>
      </w:r>
      <w:r>
        <w:rPr>
          <w:rFonts w:ascii="Times New Roman" w:hAnsi="Times New Roman" w:cs="Times New Roman"/>
          <w:sz w:val="24"/>
          <w:lang w:val="en-US"/>
        </w:rPr>
        <w:t>Cadonilimab</w:t>
      </w:r>
      <w:r>
        <w:rPr>
          <w:rFonts w:ascii="Times New Roman" w:hAnsi="Times New Roman" w:cs="Times New Roman"/>
          <w:sz w:val="24"/>
        </w:rPr>
        <w:t xml:space="preserve"> consolidation.</w:t>
      </w:r>
    </w:p>
    <w:p w14:paraId="10A1C25A">
      <w:pPr>
        <w:pStyle w:val="4"/>
        <w:spacing w:line="360" w:lineRule="auto"/>
        <w:ind w:firstLineChars="200"/>
        <w:rPr>
          <w:rFonts w:hint="default" w:ascii="Times New Roman" w:hAnsi="Times New Roman"/>
        </w:rPr>
      </w:pPr>
      <w:bookmarkStart w:id="143" w:name="_Toc990772845"/>
      <w:r>
        <w:rPr>
          <w:rFonts w:hint="default" w:ascii="Times New Roman" w:hAnsi="Times New Roman"/>
        </w:rPr>
        <w:t>14.3.2 Safety Analysis Populations</w:t>
      </w:r>
      <w:bookmarkEnd w:id="143"/>
    </w:p>
    <w:p w14:paraId="44A7CCC1">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The safety analysis population consists of all enrolled participants who received at least 1 dose of study treatment. At least 1 laboratory measurement obtained subsequent to at least 1 dose of study treatment is required for inclusion in the analysis of each specific parameter. To assess change from baseline, a baseline measurement is also required.</w:t>
      </w:r>
    </w:p>
    <w:p w14:paraId="25E81C64">
      <w:pPr>
        <w:pStyle w:val="4"/>
        <w:spacing w:line="360" w:lineRule="auto"/>
        <w:ind w:firstLineChars="200"/>
        <w:rPr>
          <w:rFonts w:hint="default" w:ascii="Times New Roman" w:hAnsi="Times New Roman"/>
        </w:rPr>
      </w:pPr>
      <w:bookmarkStart w:id="144" w:name="_Toc331007077"/>
      <w:r>
        <w:rPr>
          <w:rFonts w:hint="default" w:ascii="Times New Roman" w:hAnsi="Times New Roman"/>
        </w:rPr>
        <w:t>14.4 Statistical Methods</w:t>
      </w:r>
      <w:bookmarkEnd w:id="144"/>
    </w:p>
    <w:p w14:paraId="0A2FA262">
      <w:pPr>
        <w:pStyle w:val="4"/>
        <w:spacing w:line="360" w:lineRule="auto"/>
        <w:ind w:firstLineChars="200"/>
        <w:rPr>
          <w:rFonts w:hint="default" w:ascii="Times New Roman" w:hAnsi="Times New Roman"/>
          <w:highlight w:val="none"/>
        </w:rPr>
      </w:pPr>
      <w:bookmarkStart w:id="145" w:name="_Toc1253297409"/>
      <w:r>
        <w:rPr>
          <w:rFonts w:hint="default" w:ascii="Times New Roman" w:hAnsi="Times New Roman"/>
          <w:highlight w:val="none"/>
        </w:rPr>
        <w:t>14.</w:t>
      </w:r>
      <w:r>
        <w:rPr>
          <w:rFonts w:ascii="Times New Roman" w:hAnsi="Times New Roman"/>
          <w:highlight w:val="none"/>
        </w:rPr>
        <w:t>4</w:t>
      </w:r>
      <w:r>
        <w:rPr>
          <w:rFonts w:hint="default" w:ascii="Times New Roman" w:hAnsi="Times New Roman"/>
          <w:highlight w:val="none"/>
        </w:rPr>
        <w:t>.1 Statistical Methods for Efficacy Analyses</w:t>
      </w:r>
      <w:bookmarkEnd w:id="145"/>
    </w:p>
    <w:p w14:paraId="162C0674">
      <w:pPr>
        <w:spacing w:line="360" w:lineRule="auto"/>
        <w:ind w:firstLineChars="200"/>
        <w:rPr>
          <w:rFonts w:hint="eastAsia" w:ascii="Times New Roman" w:hAnsi="Times New Roman" w:cs="Times New Roman"/>
          <w:sz w:val="24"/>
          <w:highlight w:val="none"/>
        </w:rPr>
      </w:pPr>
      <w:r>
        <w:rPr>
          <w:rFonts w:hint="eastAsia" w:ascii="Times New Roman" w:hAnsi="Times New Roman" w:cs="Times New Roman"/>
          <w:sz w:val="24"/>
        </w:rPr>
        <w:t>Efficacy analyses will be primarily conducted in the modified ITT</w:t>
      </w:r>
      <w:r>
        <w:rPr>
          <w:rFonts w:ascii="Times New Roman" w:hAnsi="Times New Roman" w:cs="Times New Roman"/>
          <w:sz w:val="24"/>
        </w:rPr>
        <w:t xml:space="preserve"> </w:t>
      </w:r>
      <w:r>
        <w:rPr>
          <w:rFonts w:hint="eastAsia" w:ascii="Times New Roman" w:hAnsi="Times New Roman" w:cs="Times New Roman"/>
          <w:sz w:val="24"/>
        </w:rPr>
        <w:t xml:space="preserve">population and the immune consolidation candidate population, as predefined. Survival outcomes will be estimated using the Kaplan-Meier method. Median survival times, along with corresponding two-sided 90% CIs for the PFS (1-year PFS1 and 1-year PFS2), as well as </w:t>
      </w:r>
      <w:r>
        <w:rPr>
          <w:rFonts w:ascii="Times New Roman" w:hAnsi="Times New Roman" w:cs="Times New Roman"/>
          <w:sz w:val="24"/>
        </w:rPr>
        <w:t>two-sided 9</w:t>
      </w:r>
      <w:r>
        <w:rPr>
          <w:rFonts w:hint="eastAsia" w:ascii="Times New Roman" w:hAnsi="Times New Roman" w:cs="Times New Roman"/>
          <w:sz w:val="24"/>
        </w:rPr>
        <w:t>5</w:t>
      </w:r>
      <w:r>
        <w:rPr>
          <w:rFonts w:ascii="Times New Roman" w:hAnsi="Times New Roman" w:cs="Times New Roman"/>
          <w:sz w:val="24"/>
        </w:rPr>
        <w:t xml:space="preserve">% CIs for </w:t>
      </w:r>
      <w:r>
        <w:rPr>
          <w:rFonts w:hint="eastAsia" w:ascii="Times New Roman" w:hAnsi="Times New Roman" w:cs="Times New Roman"/>
          <w:sz w:val="24"/>
        </w:rPr>
        <w:t>other survival outcomes, will be derived from Kaplan-Meier curves. ORR</w:t>
      </w:r>
      <w:r>
        <w:rPr>
          <w:rFonts w:ascii="Times New Roman" w:hAnsi="Times New Roman" w:cs="Times New Roman"/>
          <w:sz w:val="24"/>
        </w:rPr>
        <w:t xml:space="preserve"> </w:t>
      </w:r>
      <w:r>
        <w:rPr>
          <w:rFonts w:hint="eastAsia" w:ascii="Times New Roman" w:hAnsi="Times New Roman" w:cs="Times New Roman"/>
          <w:sz w:val="24"/>
        </w:rPr>
        <w:t>and</w:t>
      </w:r>
      <w:r>
        <w:rPr>
          <w:rFonts w:ascii="Times New Roman" w:hAnsi="Times New Roman" w:cs="Times New Roman"/>
          <w:sz w:val="24"/>
        </w:rPr>
        <w:t xml:space="preserve"> </w:t>
      </w:r>
      <w:r>
        <w:rPr>
          <w:rFonts w:hint="eastAsia" w:ascii="Times New Roman" w:hAnsi="Times New Roman" w:cs="Times New Roman"/>
          <w:sz w:val="24"/>
        </w:rPr>
        <w:t>DCR, will be calculated along with their exact (Clopper-Pearson) two-sided 95% CIs.For exploratory biomarker analyses, the association between baseline characteristics, potential biomarkers (e.g., immunologic signatures, PD-L1 expression, ctDNA status), and clinical outcomes (e.g., PFS, OS, ORR) will be explored using univariate and multivariate Cox proportional hazards regression models for time-to-event endpoints, and logistic regression models for binary endpoints. Results will be presented as HRs</w:t>
      </w:r>
      <w:r>
        <w:rPr>
          <w:rFonts w:ascii="Times New Roman" w:hAnsi="Times New Roman" w:cs="Times New Roman"/>
          <w:sz w:val="24"/>
        </w:rPr>
        <w:t xml:space="preserve"> </w:t>
      </w:r>
      <w:r>
        <w:rPr>
          <w:rFonts w:hint="eastAsia" w:ascii="Times New Roman" w:hAnsi="Times New Roman" w:cs="Times New Roman"/>
          <w:sz w:val="24"/>
        </w:rPr>
        <w:t>or ORs with 95% CIs and corresponding p-values.</w:t>
      </w:r>
      <w:r>
        <w:rPr>
          <w:rFonts w:ascii="Times New Roman" w:hAnsi="Times New Roman" w:cs="Times New Roman"/>
          <w:sz w:val="24"/>
        </w:rPr>
        <w:t>Moreover, c</w:t>
      </w:r>
      <w:r>
        <w:rPr>
          <w:rFonts w:hint="eastAsia" w:ascii="Times New Roman" w:hAnsi="Times New Roman" w:cs="Times New Roman"/>
          <w:sz w:val="24"/>
        </w:rPr>
        <w:t>orrelation between continuous variables will be assessed using Spearman's rank correlation coefficient. All statistical tests will be two-sided, and a p-value &lt; 0.05 will be considered statistically significant for exploratory analyses without adjustment for multiple testing, given the hypothesis-generating nature of this phase II study. Statistical analyses were conducted using SPSS 21.0 (SPSS, Chicago, IL, USA) an</w:t>
      </w:r>
      <w:r>
        <w:rPr>
          <w:rFonts w:hint="eastAsia" w:ascii="Times New Roman" w:hAnsi="Times New Roman" w:cs="Times New Roman"/>
          <w:sz w:val="24"/>
          <w:highlight w:val="none"/>
        </w:rPr>
        <w:t>d R version 3.5.1 (The R Foundation for Statistical Computing).</w:t>
      </w:r>
    </w:p>
    <w:p w14:paraId="79941FB9">
      <w:pPr>
        <w:pStyle w:val="4"/>
        <w:spacing w:line="360" w:lineRule="auto"/>
        <w:ind w:firstLineChars="200"/>
        <w:rPr>
          <w:rFonts w:hint="default" w:ascii="Times New Roman" w:hAnsi="Times New Roman"/>
          <w:sz w:val="24"/>
          <w:highlight w:val="none"/>
        </w:rPr>
      </w:pPr>
      <w:bookmarkStart w:id="146" w:name="_Toc1649943287"/>
      <w:r>
        <w:rPr>
          <w:rFonts w:ascii="Times New Roman" w:hAnsi="Times New Roman"/>
          <w:b w:val="0"/>
          <w:bCs w:val="0"/>
          <w:highlight w:val="none"/>
        </w:rPr>
        <w:t>14.</w:t>
      </w:r>
      <w:r>
        <w:rPr>
          <w:rFonts w:ascii="Times New Roman" w:hAnsi="Times New Roman"/>
          <w:highlight w:val="none"/>
        </w:rPr>
        <w:t>4</w:t>
      </w:r>
      <w:r>
        <w:rPr>
          <w:rFonts w:ascii="Times New Roman" w:hAnsi="Times New Roman"/>
          <w:b w:val="0"/>
          <w:bCs w:val="0"/>
          <w:highlight w:val="none"/>
        </w:rPr>
        <w:t>.2 Statistical Method for Safety Analyses</w:t>
      </w:r>
      <w:bookmarkEnd w:id="146"/>
    </w:p>
    <w:p w14:paraId="6402BBAD">
      <w:pPr>
        <w:spacing w:line="360" w:lineRule="auto"/>
        <w:ind w:firstLineChars="200"/>
        <w:rPr>
          <w:rFonts w:ascii="Times New Roman" w:hAnsi="Times New Roman"/>
          <w:sz w:val="24"/>
        </w:rPr>
      </w:pPr>
      <w:r>
        <w:rPr>
          <w:rFonts w:hint="eastAsia" w:ascii="Times New Roman" w:hAnsi="Times New Roman" w:cs="Times New Roman"/>
          <w:sz w:val="24"/>
          <w:highlight w:val="none"/>
        </w:rPr>
        <w:t>The safety analysis population will include all enro</w:t>
      </w:r>
      <w:r>
        <w:rPr>
          <w:rFonts w:hint="eastAsia" w:ascii="Times New Roman" w:hAnsi="Times New Roman" w:cs="Times New Roman"/>
          <w:sz w:val="24"/>
        </w:rPr>
        <w:t>lled patients who received at least one dose of the study treatment (</w:t>
      </w:r>
      <w:r>
        <w:rPr>
          <w:rFonts w:hint="default" w:ascii="Times New Roman" w:hAnsi="Times New Roman" w:cs="Times New Roman"/>
          <w:sz w:val="24"/>
          <w:lang w:val="en-US"/>
        </w:rPr>
        <w:t>Cadonilimab</w:t>
      </w:r>
      <w:r>
        <w:rPr>
          <w:rFonts w:hint="eastAsia" w:ascii="Times New Roman" w:hAnsi="Times New Roman" w:cs="Times New Roman"/>
          <w:sz w:val="24"/>
        </w:rPr>
        <w:t>). Safety endpoints, including incidence and severity of TEAEs and TRAEs, will be summarized using descriptive statistics. Adverse events will be graded according to NCI-CTCAE version 5.0.</w:t>
      </w:r>
      <w:r>
        <w:rPr>
          <w:rFonts w:ascii="Times New Roman" w:hAnsi="Times New Roman" w:cs="Times New Roman"/>
          <w:sz w:val="24"/>
        </w:rPr>
        <w:t xml:space="preserve"> Continuous variables were</w:t>
      </w:r>
      <w:r>
        <w:rPr>
          <w:rFonts w:hint="eastAsia" w:ascii="Times New Roman" w:hAnsi="Times New Roman" w:cs="Times New Roman"/>
          <w:sz w:val="24"/>
        </w:rPr>
        <w:t xml:space="preserve"> </w:t>
      </w:r>
      <w:r>
        <w:rPr>
          <w:rFonts w:ascii="Times New Roman" w:hAnsi="Times New Roman" w:cs="Times New Roman"/>
          <w:sz w:val="24"/>
        </w:rPr>
        <w:t>summarized as medians with interquartile ranges (IQRs), and categorical</w:t>
      </w:r>
      <w:r>
        <w:rPr>
          <w:rFonts w:hint="eastAsia" w:ascii="Times New Roman" w:hAnsi="Times New Roman" w:cs="Times New Roman"/>
          <w:sz w:val="24"/>
        </w:rPr>
        <w:t xml:space="preserve"> </w:t>
      </w:r>
      <w:r>
        <w:rPr>
          <w:rFonts w:ascii="Times New Roman" w:hAnsi="Times New Roman" w:cs="Times New Roman"/>
          <w:sz w:val="24"/>
        </w:rPr>
        <w:t xml:space="preserve">variables were reported as counts and frequencies (n%). </w:t>
      </w:r>
      <w:r>
        <w:rPr>
          <w:rFonts w:hint="eastAsia" w:ascii="Times New Roman" w:hAnsi="Times New Roman" w:cs="Times New Roman"/>
          <w:sz w:val="24"/>
        </w:rPr>
        <w:t>Frequency and percentage of patients experiencing any TEAE, TRAE, SAE</w:t>
      </w:r>
      <w:r>
        <w:rPr>
          <w:rFonts w:ascii="Times New Roman" w:hAnsi="Times New Roman" w:cs="Times New Roman"/>
          <w:sz w:val="24"/>
        </w:rPr>
        <w:t xml:space="preserve"> </w:t>
      </w:r>
      <w:r>
        <w:rPr>
          <w:rFonts w:hint="eastAsia" w:ascii="Times New Roman" w:hAnsi="Times New Roman" w:cs="Times New Roman"/>
          <w:sz w:val="24"/>
        </w:rPr>
        <w:t xml:space="preserve">and </w:t>
      </w:r>
      <w:r>
        <w:rPr>
          <w:rFonts w:ascii="Times New Roman" w:hAnsi="Times New Roman" w:cs="Times New Roman"/>
          <w:sz w:val="24"/>
        </w:rPr>
        <w:t>AE</w:t>
      </w:r>
      <w:r>
        <w:rPr>
          <w:rFonts w:hint="eastAsia" w:ascii="Times New Roman" w:hAnsi="Times New Roman" w:cs="Times New Roman"/>
          <w:sz w:val="24"/>
        </w:rPr>
        <w:t xml:space="preserve"> leading to treatment discontinuation or death will be tabulated by CTCAE grade.</w:t>
      </w:r>
      <w:r>
        <w:rPr>
          <w:rFonts w:ascii="Times New Roman" w:hAnsi="Times New Roman" w:cs="Times New Roman"/>
          <w:sz w:val="24"/>
        </w:rPr>
        <w:t xml:space="preserve"> </w:t>
      </w:r>
      <w:r>
        <w:rPr>
          <w:rFonts w:hint="eastAsia" w:ascii="Times New Roman" w:hAnsi="Times New Roman" w:cs="Times New Roman"/>
          <w:sz w:val="24"/>
        </w:rPr>
        <w:t>Statistical analyses will be performed using SPSS 21.0 (SPSS, Chicago, IL, USA) and R version 3.5.1 (The R Foundation for Statistical Computing)</w:t>
      </w:r>
      <w:r>
        <w:rPr>
          <w:rFonts w:hint="default" w:ascii="Times New Roman" w:hAnsi="Times New Roman" w:cs="Times New Roman"/>
          <w:sz w:val="24"/>
          <w:lang w:val="en-US"/>
        </w:rPr>
        <w:t>.</w:t>
      </w:r>
    </w:p>
    <w:p w14:paraId="334F4C94">
      <w:pPr>
        <w:pStyle w:val="4"/>
        <w:spacing w:line="360" w:lineRule="auto"/>
        <w:ind w:firstLineChars="200"/>
        <w:rPr>
          <w:rFonts w:hint="default" w:ascii="Times New Roman" w:hAnsi="Times New Roman"/>
        </w:rPr>
      </w:pPr>
      <w:bookmarkStart w:id="147" w:name="_Toc140490898"/>
      <w:r>
        <w:rPr>
          <w:rFonts w:hint="default" w:ascii="Times New Roman" w:hAnsi="Times New Roman"/>
        </w:rPr>
        <w:t>14.</w:t>
      </w:r>
      <w:r>
        <w:rPr>
          <w:rFonts w:ascii="Times New Roman" w:hAnsi="Times New Roman"/>
        </w:rPr>
        <w:t>4</w:t>
      </w:r>
      <w:r>
        <w:rPr>
          <w:rFonts w:hint="default" w:ascii="Times New Roman" w:hAnsi="Times New Roman"/>
        </w:rPr>
        <w:t>.3 Summaries of Baseline Characteristics and Demographics</w:t>
      </w:r>
      <w:bookmarkEnd w:id="147"/>
    </w:p>
    <w:p w14:paraId="195EA52D">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The number and percentage of participants screened, allocated, the primary reasons for screening failure, and primary reasons for discontinuation will be displayed. Demographic variables, baseline characteristics, and prior and concomitant therapies will be summarized by descriptive statistics or categorical tables by cohort and combined treatment group if appropriate.</w:t>
      </w:r>
    </w:p>
    <w:p w14:paraId="32CB4AB5">
      <w:pPr>
        <w:pStyle w:val="4"/>
        <w:spacing w:line="360" w:lineRule="auto"/>
        <w:ind w:firstLineChars="200"/>
        <w:rPr>
          <w:rFonts w:hint="default" w:ascii="Times New Roman" w:hAnsi="Times New Roman"/>
        </w:rPr>
      </w:pPr>
      <w:bookmarkStart w:id="148" w:name="_Toc2098450535"/>
      <w:r>
        <w:rPr>
          <w:rFonts w:hint="default" w:ascii="Times New Roman" w:hAnsi="Times New Roman"/>
        </w:rPr>
        <w:t>14.</w:t>
      </w:r>
      <w:r>
        <w:rPr>
          <w:rFonts w:ascii="Times New Roman" w:hAnsi="Times New Roman"/>
        </w:rPr>
        <w:t>5</w:t>
      </w:r>
      <w:r>
        <w:rPr>
          <w:rFonts w:hint="default" w:ascii="Times New Roman" w:hAnsi="Times New Roman"/>
        </w:rPr>
        <w:t xml:space="preserve"> Multiplicity</w:t>
      </w:r>
      <w:bookmarkEnd w:id="148"/>
    </w:p>
    <w:p w14:paraId="5956E2E3">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Because this is a hypothesis-generating phase 2, single-arm study, with limited sample size, no multiplicity adjustment is planned.</w:t>
      </w:r>
    </w:p>
    <w:p w14:paraId="2A51A714">
      <w:pPr>
        <w:pStyle w:val="4"/>
        <w:spacing w:line="360" w:lineRule="auto"/>
        <w:ind w:firstLineChars="200"/>
        <w:rPr>
          <w:rFonts w:hint="default" w:ascii="Times New Roman" w:hAnsi="Times New Roman"/>
        </w:rPr>
      </w:pPr>
      <w:bookmarkStart w:id="149" w:name="_Toc534207064"/>
      <w:r>
        <w:rPr>
          <w:rFonts w:hint="default" w:ascii="Times New Roman" w:hAnsi="Times New Roman"/>
        </w:rPr>
        <w:t>14.</w:t>
      </w:r>
      <w:r>
        <w:rPr>
          <w:rFonts w:ascii="Times New Roman" w:hAnsi="Times New Roman"/>
        </w:rPr>
        <w:t>6</w:t>
      </w:r>
      <w:r>
        <w:rPr>
          <w:rFonts w:hint="default" w:ascii="Times New Roman" w:hAnsi="Times New Roman"/>
        </w:rPr>
        <w:t xml:space="preserve"> Sample Size and Power Calculations</w:t>
      </w:r>
      <w:bookmarkEnd w:id="149"/>
    </w:p>
    <w:p w14:paraId="0AF165A5">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This study employs a fixed-sequence testing procedure to control the overall Type I error (i.e., false-positive rate) at a one-sided level of</w:t>
      </w:r>
      <w:r>
        <w:rPr>
          <w:rFonts w:ascii="Times New Roman" w:hAnsi="Times New Roman" w:cs="Times New Roman"/>
          <w:color w:val="000000" w:themeColor="text1"/>
          <w:sz w:val="24"/>
          <w14:textFill>
            <w14:solidFill>
              <w14:schemeClr w14:val="tx1"/>
            </w14:solidFill>
          </w14:textFill>
        </w:rPr>
        <w:t xml:space="preserve"> 0.05</w:t>
      </w:r>
      <w:r>
        <w:rPr>
          <w:rFonts w:ascii="Times New Roman" w:hAnsi="Times New Roman" w:cs="Times New Roman"/>
          <w:sz w:val="24"/>
        </w:rPr>
        <w:t>.The first primary endpoint is the 1-year progression-free survival (PFS) rate in the modified intention-to-treat (mITT) population (PFS1). Based on data from large Phase III clinical trials such as RTOG0617, the 1-year PFS rate for standard chemoradiotherapy is set at 50% (null hypothesis, H₀). Referencing results from studies like KEYNOTE-799 and AFT-16, the risk of disease progression or death by the experimental therapy in the current study is hypothesized to be reduced by 40% (HR=0.60). A one-stage binomial exact test will be used. The study plans to complete enrollment within 12 months, followed by 24 months of additional follow-up after the last subject is enrolled.</w:t>
      </w:r>
      <w:r>
        <w:rPr>
          <w:rFonts w:hint="eastAsia" w:ascii="Times New Roman" w:hAnsi="Times New Roman" w:cs="Times New Roman"/>
          <w:sz w:val="24"/>
        </w:rPr>
        <w:t xml:space="preserve"> </w:t>
      </w:r>
      <w:r>
        <w:rPr>
          <w:rFonts w:ascii="Times New Roman" w:hAnsi="Times New Roman" w:cs="Times New Roman"/>
          <w:sz w:val="24"/>
        </w:rPr>
        <w:t>With</w:t>
      </w:r>
      <w:r>
        <w:rPr>
          <w:rFonts w:hint="eastAsia" w:ascii="Times New Roman" w:hAnsi="Times New Roman" w:cs="Times New Roman"/>
          <w:sz w:val="24"/>
        </w:rPr>
        <w:t xml:space="preserve"> </w:t>
      </w:r>
      <w:r>
        <w:rPr>
          <w:rFonts w:ascii="Times New Roman" w:hAnsi="Times New Roman" w:cs="Times New Roman"/>
          <w:sz w:val="24"/>
        </w:rPr>
        <w:t xml:space="preserve">a one-sided α of 0.05 and 80% power, 37 eligible subjects are required. Accounting for a potential 10% dropout rate, the study plans to enroll 41 subjects. Notably, if the lower boundary of the 90% CI (consistent with the one-sided alpha of 0.05) of the actual 1-year PFS1 exceeds 50%, the first primary endpoint will be considered positive. </w:t>
      </w:r>
    </w:p>
    <w:p w14:paraId="5439624D">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The second primary endpoint is the 1-year PFS rate in the immune consolidation candidate population (i.e., patients who have completed cCRT and are eligible for consolidation immunotherapy), where the PFS time is measured from the completion of cCRT. Based on the PACIFIC study, 1-year PFS rate for this population (PFS2) is set at 56% under the null hypothesis (H0). Alternatively, based on the AFT-16 study, the PFS2 in this study cohort is hypothesized to reach 74.5% or higher (alternative hypothesis, H1). Historical data indicate that approximately 70% of the ITT population completes cCRT. Therefore, among the 41 enrolled subjects, it is expected that at least 28 will qualify for the immune consolidation candidate population. Considering a potential dropout rate of 10%, at least 25 evaluable patients will proceed to the consolidation immunotherapy. With 80% power and a one-sided α of 0.05, this sample size is sufficient to detect an improvement in the 1-year PFS rate from 56% to 74.5%. Notably, if the lower boundary of the 90% CI (consistent with the one-sided alpha of 0.05) of the actual 1-year PFS2 exceeds 56%, the second primary endpoint will be considered positive.</w:t>
      </w:r>
    </w:p>
    <w:p w14:paraId="23CA4F16">
      <w:pPr>
        <w:pStyle w:val="4"/>
        <w:spacing w:line="360" w:lineRule="auto"/>
        <w:ind w:firstLineChars="200"/>
        <w:rPr>
          <w:rFonts w:hint="default" w:ascii="Times New Roman" w:hAnsi="Times New Roman"/>
        </w:rPr>
      </w:pPr>
      <w:bookmarkStart w:id="150" w:name="_Toc1936480188"/>
      <w:r>
        <w:rPr>
          <w:rFonts w:hint="default" w:ascii="Times New Roman" w:hAnsi="Times New Roman"/>
        </w:rPr>
        <w:t>14.</w:t>
      </w:r>
      <w:r>
        <w:rPr>
          <w:rFonts w:ascii="Times New Roman" w:hAnsi="Times New Roman"/>
        </w:rPr>
        <w:t>7</w:t>
      </w:r>
      <w:r>
        <w:rPr>
          <w:rFonts w:hint="default" w:ascii="Times New Roman" w:hAnsi="Times New Roman"/>
        </w:rPr>
        <w:t xml:space="preserve"> Safety Monitoring</w:t>
      </w:r>
      <w:bookmarkEnd w:id="150"/>
    </w:p>
    <w:p w14:paraId="00F34642">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To prevent excessive toxicity from the investigational treatment, the first 20 patients receiving study therapy will undergo rigorous toxicity monitoring. If 7 or more of these 20 patients experience any of the defined d</w:t>
      </w:r>
      <w:r>
        <w:rPr>
          <w:rFonts w:ascii="Times New Roman" w:hAnsi="Times New Roman" w:eastAsia="宋体" w:cs="Times New Roman"/>
          <w:color w:val="000000"/>
          <w:kern w:val="0"/>
          <w:sz w:val="24"/>
          <w:lang w:bidi="ar"/>
        </w:rPr>
        <w:t>ose-limiting toxicities (</w:t>
      </w:r>
      <w:r>
        <w:rPr>
          <w:rFonts w:ascii="Times New Roman" w:hAnsi="Times New Roman" w:cs="Times New Roman"/>
          <w:sz w:val="24"/>
        </w:rPr>
        <w:t>DLTs) within 90 days after the completion of cCRT, recruitment and treatment of new patients will be immediately suspended. The study team will review the data and may revise the treatment protocol to reduce DLT incidence or, if necessary, terminate the study entirely.</w:t>
      </w:r>
      <w:r>
        <w:rPr>
          <w:rFonts w:hint="eastAsia" w:ascii="Times New Roman" w:hAnsi="Times New Roman" w:cs="Times New Roman"/>
          <w:sz w:val="24"/>
        </w:rPr>
        <w:t xml:space="preserve"> </w:t>
      </w:r>
      <w:r>
        <w:rPr>
          <w:rFonts w:ascii="Times New Roman" w:hAnsi="Times New Roman" w:cs="Times New Roman"/>
          <w:sz w:val="24"/>
        </w:rPr>
        <w:t>DLTs in this study include the following, excluding asymptomatic biochemical abnormalities:</w:t>
      </w:r>
    </w:p>
    <w:p w14:paraId="1847FDE8">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a. Grade 3 non-hematologic toxicity lasting more than 7 consecutive days;</w:t>
      </w:r>
    </w:p>
    <w:p w14:paraId="2AA58538">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b. Grade 4 non-hematologic toxicity;</w:t>
      </w:r>
    </w:p>
    <w:p w14:paraId="5DC9AC6F">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 xml:space="preserve">c. Grade 5 adverse events, where treatment-related causality cannot be ruled out. </w:t>
      </w:r>
    </w:p>
    <w:p w14:paraId="135E3CF4">
      <w:pPr>
        <w:spacing w:before="156" w:beforeLines="50" w:line="360" w:lineRule="auto"/>
        <w:ind w:firstLine="480" w:firstLineChars="200"/>
        <w:rPr>
          <w:rFonts w:ascii="Times New Roman" w:hAnsi="Times New Roman" w:cs="Times New Roman"/>
          <w:sz w:val="24"/>
          <w:highlight w:val="yellow"/>
        </w:rPr>
      </w:pPr>
      <w:r>
        <w:rPr>
          <w:rFonts w:ascii="Times New Roman" w:hAnsi="Times New Roman" w:cs="Times New Roman"/>
          <w:sz w:val="24"/>
        </w:rPr>
        <w:t xml:space="preserve">The statistical characteristics of this toxicity monitoring are as follows: under the assumption that a DLT rate ≤25% is acceptable and ≥45% is unacceptable, the probability of early termination in the </w:t>
      </w:r>
      <w:r>
        <w:rPr>
          <w:rFonts w:hint="eastAsia" w:ascii="Times New Roman" w:hAnsi="Times New Roman" w:cs="Times New Roman"/>
          <w:sz w:val="24"/>
        </w:rPr>
        <w:t xml:space="preserve">safety </w:t>
      </w:r>
      <w:r>
        <w:rPr>
          <w:rFonts w:ascii="Times New Roman" w:hAnsi="Times New Roman" w:cs="Times New Roman"/>
          <w:sz w:val="24"/>
        </w:rPr>
        <w:t>m</w:t>
      </w:r>
      <w:r>
        <w:rPr>
          <w:rFonts w:hint="eastAsia" w:ascii="Times New Roman" w:hAnsi="Times New Roman" w:cs="Times New Roman"/>
          <w:sz w:val="24"/>
        </w:rPr>
        <w:t>onitoring</w:t>
      </w:r>
      <w:r>
        <w:rPr>
          <w:rFonts w:ascii="Times New Roman" w:hAnsi="Times New Roman" w:cs="Times New Roman"/>
          <w:sz w:val="24"/>
        </w:rPr>
        <w:t xml:space="preserve"> stage is 0.1018 when the true DLT rate is 25%, and 0.7480 when the DLT rate is 30%. Additionally, if more than 4 treatment-related deaths occur among the first 20 patients, the study will be immediately stopped and investigated.</w:t>
      </w:r>
    </w:p>
    <w:p w14:paraId="53D09649">
      <w:pPr>
        <w:pStyle w:val="2"/>
        <w:spacing w:line="360" w:lineRule="auto"/>
        <w:ind w:firstLineChars="200"/>
        <w:rPr>
          <w:rFonts w:ascii="Times New Roman" w:hAnsi="Times New Roman" w:cs="Times New Roman"/>
        </w:rPr>
      </w:pPr>
      <w:bookmarkStart w:id="151" w:name="_Toc369804391"/>
      <w:bookmarkStart w:id="152" w:name="_Toc1307849431"/>
      <w:r>
        <w:rPr>
          <w:rFonts w:ascii="Times New Roman" w:hAnsi="Times New Roman" w:cs="Times New Roman"/>
        </w:rPr>
        <w:t>15 General Regulatory and Other considerations</w:t>
      </w:r>
      <w:bookmarkEnd w:id="151"/>
      <w:bookmarkEnd w:id="152"/>
    </w:p>
    <w:p w14:paraId="7F92449E">
      <w:pPr>
        <w:pStyle w:val="4"/>
        <w:spacing w:line="360" w:lineRule="auto"/>
        <w:ind w:firstLineChars="200"/>
        <w:rPr>
          <w:rFonts w:hint="default" w:ascii="Times New Roman" w:hAnsi="Times New Roman"/>
        </w:rPr>
      </w:pPr>
      <w:bookmarkStart w:id="153" w:name="_Toc1530259772"/>
      <w:r>
        <w:rPr>
          <w:rFonts w:hint="default" w:ascii="Times New Roman" w:hAnsi="Times New Roman"/>
        </w:rPr>
        <w:t>15.1 Compliance with Trial Registration and Results Posting Requirements</w:t>
      </w:r>
      <w:bookmarkEnd w:id="153"/>
    </w:p>
    <w:p w14:paraId="1D2B8B97">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The Sponsor of the trial is solely responsible for determining whether the trial and its results are subject to the requirements for submission to the Clinical Trials Data Bank, http://www.clinicaltrials.gov. Information posted will allow patients to identify potentially appropriate trials for their disease conditions and pursue participation by calling a central contact number for further information on appropriate trial locations and trial site contact information.</w:t>
      </w:r>
    </w:p>
    <w:p w14:paraId="6D467089">
      <w:pPr>
        <w:pStyle w:val="4"/>
        <w:spacing w:line="360" w:lineRule="auto"/>
        <w:ind w:firstLineChars="200"/>
        <w:rPr>
          <w:rFonts w:hint="default" w:ascii="Times New Roman" w:hAnsi="Times New Roman"/>
        </w:rPr>
      </w:pPr>
      <w:bookmarkStart w:id="154" w:name="_Toc811831532"/>
      <w:r>
        <w:rPr>
          <w:rFonts w:hint="default" w:ascii="Times New Roman" w:hAnsi="Times New Roman"/>
        </w:rPr>
        <w:t>15.2 Regulatory and ethical compliance</w:t>
      </w:r>
      <w:bookmarkEnd w:id="154"/>
    </w:p>
    <w:p w14:paraId="168B04FE">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By signing the Protocol the investigator agrees to treat all of the information that is provided with the strictest confidentiality and to require the same of his personnel as well as the IRB. Study documents (protocols, investigator’s brochures, eCRFs, etc.) will be stored in an appropriate manner in order to ensure confidentiality. The information provided to the investigator must not be made available to other parties without a direct written authorization by the aforesaid parties, with the exception of the extent to which disclosure is necessary in order to obtain informed consent from the patients who wish to participate in the study.</w:t>
      </w:r>
    </w:p>
    <w:p w14:paraId="1DF8D335">
      <w:pPr>
        <w:pStyle w:val="4"/>
        <w:spacing w:line="360" w:lineRule="auto"/>
        <w:ind w:firstLineChars="200"/>
        <w:rPr>
          <w:rFonts w:hint="default" w:ascii="Times New Roman" w:hAnsi="Times New Roman"/>
        </w:rPr>
      </w:pPr>
      <w:bookmarkStart w:id="155" w:name="_Toc1488948933"/>
      <w:r>
        <w:rPr>
          <w:rFonts w:hint="default" w:ascii="Times New Roman" w:hAnsi="Times New Roman"/>
        </w:rPr>
        <w:t>15.3 Ethics and Good Clinical Practice</w:t>
      </w:r>
      <w:bookmarkEnd w:id="155"/>
    </w:p>
    <w:p w14:paraId="1F9471C1">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This study will be conducted in compliance with the study protocol, subsequent amendment(s) and with the study-specific manuals/guidelines, if applicable. These documents ensure that the ICH E6 guideline for Good Clinical Practice is maintained as well as compliance with the principles of the Declaration of Helsinki (World Medical Association), or the laws and regulations of the country in which the research is conducted, whichever afford the greater protection to the individual. The study will comply with the requirements of the ICH E2A guideline (Clinical Safety Data Management: Definitions and Standards for Expedited Reporting).</w:t>
      </w:r>
    </w:p>
    <w:p w14:paraId="340E1BA0">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By signing the study protocol the investigator agrees to comply with the instructions and procedures described therein and thus to adhere to the principles of good clinical practice, which these instructions and procedures reflect.</w:t>
      </w:r>
    </w:p>
    <w:p w14:paraId="2995DA9F">
      <w:pPr>
        <w:pStyle w:val="4"/>
        <w:spacing w:line="360" w:lineRule="auto"/>
        <w:ind w:firstLineChars="200"/>
        <w:rPr>
          <w:rFonts w:hint="default" w:ascii="Times New Roman" w:hAnsi="Times New Roman"/>
        </w:rPr>
      </w:pPr>
      <w:bookmarkStart w:id="156" w:name="_Toc137778440"/>
      <w:r>
        <w:rPr>
          <w:rFonts w:hint="default" w:ascii="Times New Roman" w:hAnsi="Times New Roman"/>
        </w:rPr>
        <w:t>15.4 Confidentiality</w:t>
      </w:r>
      <w:bookmarkEnd w:id="156"/>
    </w:p>
    <w:p w14:paraId="00F2CD08">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Patient medical information both, associated with biologic specimens or not, is confidential and may only be disclosed to third parties as permitted by the ICF (or separate authorization for use and disclosure of personal health information) which has been signed by the patient, unless permitted or required by law. Data derived from biologic specimen analysis on individual patients will in generally not be provided to study investigators unless a request for research use is granted. The overall results of any research conducted using biologic specimens will be available in accordance with the effective AFT policy on study data publication.</w:t>
      </w:r>
    </w:p>
    <w:p w14:paraId="178098FD">
      <w:pPr>
        <w:pStyle w:val="4"/>
        <w:spacing w:line="360" w:lineRule="auto"/>
        <w:ind w:firstLineChars="200"/>
        <w:rPr>
          <w:rFonts w:hint="default" w:ascii="Times New Roman" w:hAnsi="Times New Roman"/>
        </w:rPr>
      </w:pPr>
      <w:bookmarkStart w:id="157" w:name="_Toc654869614"/>
      <w:r>
        <w:rPr>
          <w:rFonts w:hint="default" w:ascii="Times New Roman" w:hAnsi="Times New Roman"/>
        </w:rPr>
        <w:t>15.5 Protocol Amendments</w:t>
      </w:r>
      <w:bookmarkEnd w:id="157"/>
    </w:p>
    <w:p w14:paraId="2C03AD8A">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Any modifications to the protocol or the Informed Consent Form which may impact on the conduct of the study, potential benefit of the study, or may affect patient safety, including changes of study objectives, study design, patient population, sample sizes, study procedures, or significant administrative aspects will require a formal amendment to the protocol. Such amendment will be released by AFT, agreed by the investigator(s) and approved by relevant IRBs prior to implementation. A signed and dated statement that the protocol, any subsequent relevant amended documents and the Informed Consent Form have been approved by relevant IRBs must be provided to AFT before the study is initiated.</w:t>
      </w:r>
    </w:p>
    <w:p w14:paraId="1020CE5A">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Administrative changes of the protocol are minor corrections and/or clarifications that have no effect on the way the study is to be conducted. These administrative changes will be released by the AFT, agreed by the investigator(s) and notified to the IRB.</w:t>
      </w:r>
    </w:p>
    <w:p w14:paraId="03FE9023">
      <w:pPr>
        <w:pStyle w:val="4"/>
        <w:spacing w:line="360" w:lineRule="auto"/>
        <w:ind w:firstLineChars="200"/>
        <w:rPr>
          <w:rFonts w:hint="default" w:ascii="Times New Roman" w:hAnsi="Times New Roman"/>
        </w:rPr>
      </w:pPr>
      <w:bookmarkStart w:id="158" w:name="_Toc539911623"/>
      <w:r>
        <w:rPr>
          <w:rFonts w:hint="default" w:ascii="Times New Roman" w:hAnsi="Times New Roman"/>
        </w:rPr>
        <w:t>15.6 Informed Consent</w:t>
      </w:r>
      <w:bookmarkEnd w:id="158"/>
    </w:p>
    <w:p w14:paraId="5F6A4AFC">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It is the responsibility of the Investigator, or a person designated by the Investigator (if acceptable by local regulations), to obtain written Informed Consent from each patient participating in this study, after adequate explanation of the aims, methods, anticipated benefits, and potential hazards of the study. This information must be provided to the patient prior to undertaking any trial-related procedure which is not part of the routine clinical management of the patient (i.e. would not be indicated outside the study).</w:t>
      </w:r>
    </w:p>
    <w:p w14:paraId="23B85ED5">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For patients not qualified or incapable of giving legal consent, written consent must be obtained from the legally acceptable representative. In the case where both the patients and his/her legally acceptable representative are unable to read, an impartial witness should be present during the entire informed consent discussion. After the patient and representative have orally consented to participation in the trial, the witness’ signature on the form will attest that the information in the consent form was accurately explained and understood. The Investigator or designee must also explain that the patients are completely free to refuse to enter the study or to withdraw from it at any time, for any reason.</w:t>
      </w:r>
    </w:p>
    <w:p w14:paraId="1283786C">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Furthermore, it is the investigator’s responsibility to obtain the signed Informed Consent Form, and a signature from the person conducting the informed consent discussion, prior to undertaking any trial-related procedure. The proposed Informed Consent Form must accomplish with the ICH GCP guideline and regulatory requirements.</w:t>
      </w:r>
    </w:p>
    <w:p w14:paraId="4B3F3FB9">
      <w:pPr>
        <w:pStyle w:val="4"/>
        <w:spacing w:line="360" w:lineRule="auto"/>
        <w:ind w:firstLineChars="200"/>
        <w:rPr>
          <w:rFonts w:hint="default" w:ascii="Times New Roman" w:hAnsi="Times New Roman"/>
        </w:rPr>
      </w:pPr>
      <w:bookmarkStart w:id="159" w:name="_Toc1176239186"/>
      <w:r>
        <w:rPr>
          <w:rFonts w:hint="default" w:ascii="Times New Roman" w:hAnsi="Times New Roman"/>
        </w:rPr>
        <w:t>15.7 Financial Disclosure</w:t>
      </w:r>
      <w:bookmarkEnd w:id="159"/>
    </w:p>
    <w:p w14:paraId="06A2032C">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Investigators will provide adequate and accurate financial information in accordance with local regulations and laws in order to submit complete and accurate financial certification or disclosure statements to the appropriate health authorities. Investigators are responsible for providing updated information on financial interests during the course of the study as well as for 1 year after completion of the study.</w:t>
      </w:r>
    </w:p>
    <w:p w14:paraId="411CE79B">
      <w:pPr>
        <w:pStyle w:val="4"/>
        <w:spacing w:line="360" w:lineRule="auto"/>
        <w:ind w:firstLineChars="200"/>
        <w:rPr>
          <w:rFonts w:hint="default" w:ascii="Times New Roman" w:hAnsi="Times New Roman"/>
        </w:rPr>
      </w:pPr>
      <w:bookmarkStart w:id="160" w:name="_Toc1465028467"/>
      <w:r>
        <w:rPr>
          <w:rFonts w:hint="default" w:ascii="Times New Roman" w:hAnsi="Times New Roman"/>
        </w:rPr>
        <w:t>15.8 Protocol Deviations</w:t>
      </w:r>
      <w:bookmarkEnd w:id="160"/>
    </w:p>
    <w:p w14:paraId="630375A9">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The investigator is responsible to document and explain any deviations from the approved protocol. The investigator should promptly report any deviations that might impact patient safety and data integrity and if locally applicable, to the respective IRB in accordance with local IRB policies and procedures.</w:t>
      </w:r>
    </w:p>
    <w:p w14:paraId="0A98626E">
      <w:pPr>
        <w:pStyle w:val="4"/>
        <w:spacing w:line="360" w:lineRule="auto"/>
        <w:ind w:firstLineChars="200"/>
        <w:rPr>
          <w:rFonts w:hint="default" w:ascii="Times New Roman" w:hAnsi="Times New Roman"/>
        </w:rPr>
      </w:pPr>
      <w:bookmarkStart w:id="161" w:name="_Toc1833432014"/>
      <w:r>
        <w:rPr>
          <w:rFonts w:hint="default" w:ascii="Times New Roman" w:hAnsi="Times New Roman"/>
        </w:rPr>
        <w:t>15.9 Retention of Records</w:t>
      </w:r>
      <w:bookmarkEnd w:id="161"/>
    </w:p>
    <w:p w14:paraId="34A2B7C5">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Any records and documents relating to the conduct of this study and the distribution of investigational drug, including ICFs, eCRFs, PRO data, laboratory test results, and medication inventory records, must be retained by the Principal Investigator for the length of time required by relevant national or local health authorities, whichever is longer. After that period of time, the documents may be destroyed, subject to local regulations.</w:t>
      </w:r>
    </w:p>
    <w:p w14:paraId="1E95B5E3">
      <w:pPr>
        <w:pStyle w:val="4"/>
        <w:spacing w:line="360" w:lineRule="auto"/>
        <w:ind w:firstLineChars="200"/>
        <w:rPr>
          <w:rFonts w:hint="default" w:ascii="Times New Roman" w:hAnsi="Times New Roman"/>
        </w:rPr>
      </w:pPr>
      <w:bookmarkStart w:id="162" w:name="_Toc249008495"/>
      <w:r>
        <w:rPr>
          <w:rFonts w:hint="default" w:ascii="Times New Roman" w:hAnsi="Times New Roman"/>
        </w:rPr>
        <w:t>15.10 Monitoring and Auditing</w:t>
      </w:r>
      <w:bookmarkEnd w:id="162"/>
    </w:p>
    <w:p w14:paraId="52296CE6">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Investigators and study sites must provide direct access to source data and documents to allow study-related monitoring, audits, IRB/IEC reviews, and regulatory inspections. Direct access includes permission to inspect, analyze, verify, and reproduce any records or reports critical to the evaluation of the clinical study.</w:t>
      </w:r>
    </w:p>
    <w:p w14:paraId="239561A1">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Clinical monitors are responsible for conducting regular visits to study sites throughout the trial to verify adherence to the protocol, compliance with data integrity, accuracy, and consistency, as well as compliance with ICH GCP and local regulations. Monitors are responsible for reviewing CRFs and ensuring the completeness of essential study documents and must have access to subjects’ medical records and other study-related documentation as needed to verify the CRF entries.</w:t>
      </w:r>
    </w:p>
    <w:p w14:paraId="0C1C3749">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Monitors will communicate any deviations from the protocol, SOPs, GCP, or applicable regulations to the investigator and ensure that appropriate corrective and preventive actions are implemented and documented to prevent recurrence. Investigators agree to cooperate with monitors to ensure that any issues identified during monitoring visits are resolved and documented.</w:t>
      </w:r>
    </w:p>
    <w:p w14:paraId="674B16BC">
      <w:pPr>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In accordance with ICH GCP and the sponsor’s audit plan, the sponsor’s representatives may audit selected study sites. To assess study conduct and compliance with the protocol, ICH GCP, and applicable regulatory requirements, audits may include inspection of study facilities (e.g., pharmacy, drug storage areas, laboratories) and review of study-related records (e.g., CRFs, source data, and other relevant documents).</w:t>
      </w:r>
    </w:p>
    <w:p w14:paraId="51295350">
      <w:pPr>
        <w:pStyle w:val="2"/>
        <w:spacing w:line="360" w:lineRule="auto"/>
        <w:ind w:firstLineChars="200"/>
        <w:rPr>
          <w:rFonts w:ascii="Times New Roman" w:hAnsi="Times New Roman" w:cs="Times New Roman"/>
        </w:rPr>
      </w:pPr>
      <w:bookmarkStart w:id="163" w:name="_Toc1787631109"/>
      <w:bookmarkStart w:id="164" w:name="_Toc484725119"/>
      <w:r>
        <w:rPr>
          <w:rFonts w:ascii="Times New Roman" w:hAnsi="Times New Roman" w:cs="Times New Roman"/>
        </w:rPr>
        <w:t>16 References</w:t>
      </w:r>
      <w:bookmarkEnd w:id="163"/>
      <w:bookmarkEnd w:id="164"/>
    </w:p>
    <w:p w14:paraId="00DED182">
      <w:pPr>
        <w:numPr>
          <w:ilvl w:val="0"/>
          <w:numId w:val="9"/>
        </w:numPr>
        <w:spacing w:before="156" w:beforeLines="50" w:line="240" w:lineRule="auto"/>
        <w:ind w:left="425" w:firstLine="0" w:firstLineChars="0"/>
        <w:rPr>
          <w:rFonts w:ascii="Times New Roman" w:hAnsi="Times New Roman" w:cs="Times New Roman"/>
          <w:sz w:val="24"/>
        </w:rPr>
      </w:pPr>
      <w:r>
        <w:rPr>
          <w:rFonts w:ascii="Times New Roman" w:hAnsi="Times New Roman" w:cs="Times New Roman"/>
          <w:sz w:val="24"/>
        </w:rPr>
        <w:t xml:space="preserve">(DSUR), S. D. S. U. R. (August 2020.). Development Safety Update Report, Sitravatinib. . </w:t>
      </w:r>
    </w:p>
    <w:p w14:paraId="6EB7ED48">
      <w:pPr>
        <w:numPr>
          <w:ilvl w:val="0"/>
          <w:numId w:val="9"/>
        </w:numPr>
        <w:spacing w:before="156" w:beforeLines="50" w:line="240" w:lineRule="auto"/>
        <w:ind w:left="425" w:firstLine="0" w:firstLineChars="0"/>
        <w:rPr>
          <w:rFonts w:ascii="Times New Roman" w:hAnsi="Times New Roman" w:cs="Times New Roman"/>
          <w:sz w:val="24"/>
        </w:rPr>
      </w:pPr>
      <w:r>
        <w:rPr>
          <w:rFonts w:ascii="Times New Roman" w:hAnsi="Times New Roman" w:cs="Times New Roman"/>
          <w:sz w:val="24"/>
        </w:rPr>
        <w:t>Antonia, S. J., Villegas, A., Daniel, D., Vicente, D., Murakami, S., Hui, R., et al. (2018). Overall Survival with Durvalumab after Chemoradiotherapy in Stage III NSCLC. N Engl J Med, 379(24), 2342-2350. doi:10.1056/NEJMoa1809697</w:t>
      </w:r>
    </w:p>
    <w:p w14:paraId="561B800A">
      <w:pPr>
        <w:numPr>
          <w:ilvl w:val="0"/>
          <w:numId w:val="9"/>
        </w:numPr>
        <w:spacing w:before="156" w:beforeLines="50" w:line="240" w:lineRule="auto"/>
        <w:ind w:left="425" w:firstLine="0" w:firstLineChars="0"/>
        <w:rPr>
          <w:rFonts w:ascii="Times New Roman" w:hAnsi="Times New Roman" w:cs="Times New Roman"/>
          <w:sz w:val="24"/>
        </w:rPr>
      </w:pPr>
      <w:r>
        <w:rPr>
          <w:rFonts w:ascii="Times New Roman" w:hAnsi="Times New Roman" w:cs="Times New Roman"/>
          <w:sz w:val="24"/>
        </w:rPr>
        <w:t>Antonia, S. J., Villegas, A., Daniel, D., Vicente, D., Murakami, S., Hui, R., et al. (2017). Durvalumab after Chemoradiotherapy in Stage III Non-Small-Cell Lung Cancer. N Engl J Med, 377(20), 1919-1929. doi:10.1056/NEJMoa1709937</w:t>
      </w:r>
    </w:p>
    <w:p w14:paraId="484825A9">
      <w:pPr>
        <w:numPr>
          <w:ilvl w:val="0"/>
          <w:numId w:val="9"/>
        </w:numPr>
        <w:spacing w:before="156" w:beforeLines="50" w:line="240" w:lineRule="auto"/>
        <w:ind w:left="425" w:firstLine="0" w:firstLineChars="0"/>
        <w:rPr>
          <w:rFonts w:ascii="Times New Roman" w:hAnsi="Times New Roman" w:cs="Times New Roman"/>
          <w:sz w:val="24"/>
        </w:rPr>
      </w:pPr>
      <w:r>
        <w:rPr>
          <w:rFonts w:ascii="Times New Roman" w:hAnsi="Times New Roman" w:cs="Times New Roman"/>
          <w:sz w:val="24"/>
        </w:rPr>
        <w:t>Aupérin, A., Le Péchoux, C., Pignon, J. P., Koning, C., Jeremic, B., Clamon, G., et al. (2006). Concomitant radio-chemotherapy based on platin compounds in patients with locally advanced non-small cell lung cancer (NSCLC): a meta-analysis of individual data from 1764 patients. Ann Oncol, 17(3), 473-483. doi:10.1093/annonc/mdj117</w:t>
      </w:r>
    </w:p>
    <w:p w14:paraId="4D6862A8">
      <w:pPr>
        <w:numPr>
          <w:ilvl w:val="0"/>
          <w:numId w:val="9"/>
        </w:numPr>
        <w:spacing w:before="156" w:beforeLines="50" w:line="240" w:lineRule="auto"/>
        <w:ind w:left="425" w:firstLine="0" w:firstLineChars="0"/>
        <w:rPr>
          <w:rFonts w:ascii="Times New Roman" w:hAnsi="Times New Roman" w:cs="Times New Roman"/>
          <w:sz w:val="24"/>
        </w:rPr>
      </w:pPr>
      <w:r>
        <w:rPr>
          <w:rFonts w:ascii="Times New Roman" w:hAnsi="Times New Roman" w:cs="Times New Roman"/>
          <w:sz w:val="24"/>
        </w:rPr>
        <w:t>Aupérin, A., Le Péchoux, C., Rolland, E., Curran, W. J., Furuse, K., Fournel, P., et al. (2010). Meta-analysis of concomitant versus sequential radiochemotherapy in locally advanced non-small-cell lung cancer. J Clin Oncol, 28(13), 2181-2190. doi:10.1200/jco.2009.26.2543</w:t>
      </w:r>
    </w:p>
    <w:p w14:paraId="0B025DF5">
      <w:pPr>
        <w:numPr>
          <w:ilvl w:val="0"/>
          <w:numId w:val="9"/>
        </w:numPr>
        <w:spacing w:before="156" w:beforeLines="50" w:line="240" w:lineRule="auto"/>
        <w:ind w:left="425" w:firstLine="0" w:firstLineChars="0"/>
        <w:rPr>
          <w:rFonts w:ascii="Times New Roman" w:hAnsi="Times New Roman" w:cs="Times New Roman"/>
          <w:sz w:val="24"/>
        </w:rPr>
      </w:pPr>
      <w:r>
        <w:rPr>
          <w:rFonts w:ascii="Times New Roman" w:hAnsi="Times New Roman" w:cs="Times New Roman"/>
          <w:sz w:val="24"/>
        </w:rPr>
        <w:t>Auperin, A., Rolland, E., Curran, W. J., Furuse, K., Fournel, P., Belderbos, J., et al. (2007). A1-05: Concomitant radio-chemotherapy (RT-CT) versus sequential RT-CT in locally advanced non-small cell lung cancer (NSCLC): A meta-analysis using individual patient data (IPD) from randomised clinical trials (RCTs). Journal of Thoracic Oncology, 2(8, Supplement), S310. doi:https://doi.org/10.1097/01.JTO.0000283094.86594.8f</w:t>
      </w:r>
    </w:p>
    <w:p w14:paraId="379EF58C">
      <w:pPr>
        <w:numPr>
          <w:ilvl w:val="0"/>
          <w:numId w:val="9"/>
        </w:numPr>
        <w:spacing w:before="156" w:beforeLines="50" w:line="240" w:lineRule="auto"/>
        <w:ind w:left="425" w:firstLine="0" w:firstLineChars="0"/>
        <w:rPr>
          <w:rFonts w:ascii="Times New Roman" w:hAnsi="Times New Roman" w:cs="Times New Roman"/>
          <w:sz w:val="24"/>
        </w:rPr>
      </w:pPr>
      <w:r>
        <w:rPr>
          <w:rFonts w:ascii="Times New Roman" w:hAnsi="Times New Roman" w:cs="Times New Roman"/>
          <w:sz w:val="24"/>
        </w:rPr>
        <w:t>Beers, S. A., Glennie, M. J., &amp; White, A. L. (2016). Influence of immunoglobulin isotype on therapeutic antibody function. Blood, 127(9), 1097-1101. doi:10.1182/blood-2015-09-625343</w:t>
      </w:r>
    </w:p>
    <w:p w14:paraId="07A43D60">
      <w:pPr>
        <w:numPr>
          <w:ilvl w:val="0"/>
          <w:numId w:val="9"/>
        </w:numPr>
        <w:spacing w:before="156" w:beforeLines="50" w:line="240" w:lineRule="auto"/>
        <w:ind w:left="425" w:firstLine="0" w:firstLineChars="0"/>
        <w:rPr>
          <w:rFonts w:ascii="Times New Roman" w:hAnsi="Times New Roman" w:cs="Times New Roman"/>
          <w:sz w:val="24"/>
        </w:rPr>
      </w:pPr>
      <w:r>
        <w:rPr>
          <w:rFonts w:ascii="Times New Roman" w:hAnsi="Times New Roman" w:cs="Times New Roman"/>
          <w:sz w:val="24"/>
        </w:rPr>
        <w:t>Belani, C. P., Choy, H., Bonomi, P., Scott, C., Travis, P., Haluschak, J., et al. (2005). Combined chemoradiotherapy regimens of paclitaxel and carboplatin for locally advanced non-small-cell lung cancer: a randomized phase II locally advanced multi-modality protocol. J Clin Oncol, 23(25), 5883-5891. doi:10.1200/jco.2005.55.405</w:t>
      </w:r>
    </w:p>
    <w:p w14:paraId="73E21A19">
      <w:pPr>
        <w:numPr>
          <w:ilvl w:val="0"/>
          <w:numId w:val="9"/>
        </w:numPr>
        <w:spacing w:before="156" w:beforeLines="50" w:line="240" w:lineRule="auto"/>
        <w:ind w:left="425" w:firstLine="0" w:firstLineChars="0"/>
        <w:rPr>
          <w:rFonts w:ascii="Times New Roman" w:hAnsi="Times New Roman" w:cs="Times New Roman"/>
          <w:sz w:val="24"/>
        </w:rPr>
      </w:pPr>
      <w:r>
        <w:rPr>
          <w:rFonts w:ascii="Times New Roman" w:hAnsi="Times New Roman" w:cs="Times New Roman"/>
          <w:sz w:val="24"/>
        </w:rPr>
        <w:t>Bradley, J. D., Paulus, R., Komaki, R., Masters, G., Blumenschein, G., Schild, S., et al. (2015). Standard-dose versus high-dose conformal radiotherapy with concurrent and consolidation carboplatin plus paclitaxel with or without cetuximab for patients with stage IIIA or IIIB non-small-cell lung cancer (RTOG 0617): a randomised, two-by-two factorial phase 3 study. Lancet Oncol, 16(2), 187-199. doi:10.1016/s1470-2045(14)71207-0</w:t>
      </w:r>
    </w:p>
    <w:p w14:paraId="0530B0CB">
      <w:pPr>
        <w:numPr>
          <w:ilvl w:val="0"/>
          <w:numId w:val="9"/>
        </w:numPr>
        <w:spacing w:before="156" w:beforeLines="50" w:line="240" w:lineRule="auto"/>
        <w:ind w:left="425" w:firstLine="0" w:firstLineChars="0"/>
        <w:rPr>
          <w:rFonts w:ascii="Times New Roman" w:hAnsi="Times New Roman" w:cs="Times New Roman"/>
          <w:sz w:val="24"/>
        </w:rPr>
      </w:pPr>
      <w:r>
        <w:rPr>
          <w:rFonts w:ascii="Times New Roman" w:hAnsi="Times New Roman" w:cs="Times New Roman"/>
          <w:sz w:val="24"/>
        </w:rPr>
        <w:t>Brahmer, J. R., Lacchetti, C., Schneider, B. J., Atkins, M. B., Brassil, K. J., Caterino, J. M., et al. (2018). Management of Immune-Related Adverse Events in Patients Treated With Immune Checkpoint Inhibitor Therapy: American Society of Clinical Oncology Clinical Practice Guideline. J Clin Oncol, 36(17), 1714-1768. doi:10.1200/JCO.2017.77.6385</w:t>
      </w:r>
    </w:p>
    <w:p w14:paraId="1A11E638">
      <w:pPr>
        <w:numPr>
          <w:ilvl w:val="0"/>
          <w:numId w:val="9"/>
        </w:numPr>
        <w:spacing w:before="156" w:beforeLines="50" w:line="240" w:lineRule="auto"/>
        <w:ind w:left="425" w:firstLine="0" w:firstLineChars="0"/>
        <w:rPr>
          <w:rFonts w:ascii="Times New Roman" w:hAnsi="Times New Roman" w:cs="Times New Roman"/>
          <w:sz w:val="24"/>
        </w:rPr>
      </w:pPr>
      <w:r>
        <w:rPr>
          <w:rFonts w:ascii="Times New Roman" w:hAnsi="Times New Roman" w:cs="Times New Roman"/>
          <w:sz w:val="24"/>
        </w:rPr>
        <w:t xml:space="preserve">Brookmeyer., R., &amp; J., C. J. (1982). A Confidence Interval for the Median Survival Time. Biometrics, 28, 29-41. </w:t>
      </w:r>
    </w:p>
    <w:p w14:paraId="6191A8EE">
      <w:pPr>
        <w:numPr>
          <w:ilvl w:val="0"/>
          <w:numId w:val="9"/>
        </w:numPr>
        <w:spacing w:before="156" w:beforeLines="50" w:line="240" w:lineRule="auto"/>
        <w:ind w:left="425" w:firstLine="0" w:firstLineChars="0"/>
        <w:rPr>
          <w:rFonts w:ascii="Times New Roman" w:hAnsi="Times New Roman" w:cs="Times New Roman"/>
          <w:sz w:val="24"/>
        </w:rPr>
      </w:pPr>
      <w:r>
        <w:rPr>
          <w:rFonts w:ascii="Times New Roman" w:hAnsi="Times New Roman" w:cs="Times New Roman"/>
          <w:sz w:val="24"/>
        </w:rPr>
        <w:t>Chen, W., Zheng, R., Baade, P. D., Zhang, S., Zeng, H., Bray, F., et al. (2016). Cancer statistics in China, 2015. CA Cancer J Clin, 66(2), 115-132. doi:10.3322/caac.21338</w:t>
      </w:r>
    </w:p>
    <w:p w14:paraId="57901A45">
      <w:pPr>
        <w:numPr>
          <w:ilvl w:val="0"/>
          <w:numId w:val="9"/>
        </w:numPr>
        <w:spacing w:before="156" w:beforeLines="50" w:line="240" w:lineRule="auto"/>
        <w:ind w:left="425" w:firstLine="0" w:firstLineChars="0"/>
        <w:rPr>
          <w:rFonts w:ascii="Times New Roman" w:hAnsi="Times New Roman" w:cs="Times New Roman"/>
          <w:sz w:val="24"/>
        </w:rPr>
      </w:pPr>
      <w:r>
        <w:rPr>
          <w:rFonts w:ascii="Times New Roman" w:hAnsi="Times New Roman" w:cs="Times New Roman"/>
          <w:sz w:val="24"/>
        </w:rPr>
        <w:t>Derer, A., Frey, B., Fietkau, R., &amp; Gaipl, U. S. (2016). Immune-modulating properties of ionizing radiation: rationale for the treatment of cancer by combination radiotherapy and immune checkpoint inhibitors. Cancer Immunology, Immunotherapy, 65(7), 779-786. doi:10.1007/s00262-015-1771-8</w:t>
      </w:r>
    </w:p>
    <w:p w14:paraId="01F8E1F5">
      <w:pPr>
        <w:numPr>
          <w:ilvl w:val="0"/>
          <w:numId w:val="9"/>
        </w:numPr>
        <w:spacing w:before="156" w:beforeLines="50" w:line="240" w:lineRule="auto"/>
        <w:ind w:left="425" w:firstLine="0" w:firstLineChars="0"/>
        <w:rPr>
          <w:rFonts w:ascii="Times New Roman" w:hAnsi="Times New Roman" w:cs="Times New Roman"/>
          <w:sz w:val="24"/>
        </w:rPr>
      </w:pPr>
      <w:r>
        <w:rPr>
          <w:rFonts w:ascii="Times New Roman" w:hAnsi="Times New Roman" w:cs="Times New Roman"/>
          <w:sz w:val="24"/>
        </w:rPr>
        <w:t xml:space="preserve">Durm, G. A., Jabbour, S. K., Althouse, S. K., Liu, Z., Sadiq, A. A., Zon, R. T., et al. (2020). A phase 2 trial of consolidation </w:t>
      </w:r>
      <w:r>
        <w:rPr>
          <w:rFonts w:ascii="Times New Roman" w:hAnsi="Times New Roman" w:cs="Times New Roman"/>
          <w:sz w:val="24"/>
          <w:lang w:val="en-US"/>
        </w:rPr>
        <w:t>Cadonilimab</w:t>
      </w:r>
      <w:r>
        <w:rPr>
          <w:rFonts w:ascii="Times New Roman" w:hAnsi="Times New Roman" w:cs="Times New Roman"/>
          <w:sz w:val="24"/>
        </w:rPr>
        <w:t xml:space="preserve">  following concurrent chemoradiation for patients with unresectable stage III non-small cell lung cancer: Hoosier Cancer Research Network LUN 14-179. Cancer, 126(19), 4353-4361. doi:10.1002/cncr.33083</w:t>
      </w:r>
    </w:p>
    <w:p w14:paraId="56C85A04">
      <w:pPr>
        <w:numPr>
          <w:ilvl w:val="0"/>
          <w:numId w:val="9"/>
        </w:numPr>
        <w:spacing w:before="156" w:beforeLines="50" w:line="240" w:lineRule="auto"/>
        <w:ind w:left="425" w:firstLine="0" w:firstLineChars="0"/>
        <w:rPr>
          <w:rFonts w:ascii="Times New Roman" w:hAnsi="Times New Roman" w:cs="Times New Roman"/>
          <w:sz w:val="24"/>
        </w:rPr>
      </w:pPr>
      <w:r>
        <w:rPr>
          <w:rFonts w:ascii="Times New Roman" w:hAnsi="Times New Roman" w:cs="Times New Roman"/>
          <w:sz w:val="24"/>
        </w:rPr>
        <w:t xml:space="preserve">Faivre-Finn, C., Vicente, D., Kurata, T., Planchard, D., &amp; Antonia, S. J. (2020). LBA49 Durvalumab after chemoradiotherapy in stage III NSCLC: 4-year survival update from the phase III PACIFIC trial. Annals of Oncology, 31, S1178-S1179. </w:t>
      </w:r>
    </w:p>
    <w:p w14:paraId="7454659A">
      <w:pPr>
        <w:numPr>
          <w:ilvl w:val="0"/>
          <w:numId w:val="9"/>
        </w:numPr>
        <w:spacing w:before="156" w:beforeLines="50" w:line="240" w:lineRule="auto"/>
        <w:ind w:left="425" w:firstLine="0" w:firstLineChars="0"/>
        <w:rPr>
          <w:rFonts w:ascii="Times New Roman" w:hAnsi="Times New Roman" w:cs="Times New Roman"/>
          <w:sz w:val="24"/>
        </w:rPr>
      </w:pPr>
      <w:r>
        <w:rPr>
          <w:rFonts w:ascii="Times New Roman" w:hAnsi="Times New Roman" w:cs="Times New Roman"/>
          <w:sz w:val="24"/>
        </w:rPr>
        <w:t>Ferlay, J., Soerjomataram, I., Dikshit, R., Eser, S., Mathers, C., Rebelo, M., et al. (2015). Cancer incidence and mortality worldwide: sources, methods and major patterns in GLOBOCAN 2012. Int J Cancer, 136(5), E359-386. doi:10.1002/ijc.29210</w:t>
      </w:r>
    </w:p>
    <w:p w14:paraId="52CB8581">
      <w:pPr>
        <w:numPr>
          <w:ilvl w:val="0"/>
          <w:numId w:val="9"/>
        </w:numPr>
        <w:spacing w:before="156" w:beforeLines="50" w:line="240" w:lineRule="auto"/>
        <w:ind w:left="425" w:firstLine="0" w:firstLineChars="0"/>
        <w:rPr>
          <w:rFonts w:ascii="Times New Roman" w:hAnsi="Times New Roman" w:cs="Times New Roman"/>
          <w:sz w:val="24"/>
        </w:rPr>
      </w:pPr>
      <w:r>
        <w:rPr>
          <w:rFonts w:ascii="Times New Roman" w:hAnsi="Times New Roman" w:cs="Times New Roman"/>
          <w:sz w:val="24"/>
        </w:rPr>
        <w:t>Gandara, D. R., Chansky, K., Albain, K. S., Leigh, B. R., Gaspar, L. E., Lara, P. N., Jr., et al. (2003). Consolidation docetaxel after concurrent chemoradiotherapy in stage IIIB non-small-cell lung cancer: phase II Southwest Oncology Group Study S9504. J Clin Oncol, 21(10), 2004-2010. doi:10.1200/jco.2003.04.197</w:t>
      </w:r>
    </w:p>
    <w:p w14:paraId="7E1AF7E9">
      <w:pPr>
        <w:numPr>
          <w:ilvl w:val="0"/>
          <w:numId w:val="9"/>
        </w:numPr>
        <w:spacing w:before="156" w:beforeLines="50" w:line="240" w:lineRule="auto"/>
        <w:ind w:left="425" w:firstLine="0" w:firstLineChars="0"/>
        <w:rPr>
          <w:rFonts w:ascii="Times New Roman" w:hAnsi="Times New Roman" w:cs="Times New Roman"/>
          <w:sz w:val="24"/>
        </w:rPr>
      </w:pPr>
      <w:r>
        <w:rPr>
          <w:rFonts w:ascii="Times New Roman" w:hAnsi="Times New Roman" w:cs="Times New Roman"/>
          <w:sz w:val="24"/>
        </w:rPr>
        <w:t>Goldstraw, P., Chansky, K., Crowley, J., Rami-Porta, R., Asamura, H., Eberhardt, W. E., et al. (2016). The IASLC Lung Cancer Staging Project: Proposals for Revision of the TNM Stage Groupings in the Forthcoming (Eighth) Edition of the TNM Classification for Lung Cancer. J Thorac Oncol, 11(1), 39-51. doi:10.1016/j.jtho.2015.09.009</w:t>
      </w:r>
    </w:p>
    <w:p w14:paraId="193B485A">
      <w:pPr>
        <w:numPr>
          <w:ilvl w:val="0"/>
          <w:numId w:val="9"/>
        </w:numPr>
        <w:spacing w:before="156" w:beforeLines="50" w:line="240" w:lineRule="auto"/>
        <w:ind w:left="425" w:firstLine="0" w:firstLineChars="0"/>
        <w:rPr>
          <w:rFonts w:ascii="Times New Roman" w:hAnsi="Times New Roman" w:cs="Times New Roman"/>
          <w:sz w:val="24"/>
        </w:rPr>
      </w:pPr>
      <w:r>
        <w:rPr>
          <w:rFonts w:ascii="Times New Roman" w:hAnsi="Times New Roman" w:cs="Times New Roman"/>
          <w:sz w:val="24"/>
        </w:rPr>
        <w:t>Gray, J. E., Villegas, A., Daniel, D., Vicente, D., Murakami, S., Hui, R., et al. (2020). Three-Year Overall Survival with Durvalumab after Chemoradiotherapy in Stage III NSCLC-Update from PACIFIC. J Thorac Oncol, 15(2), 288-293. doi:10.1016/j.jtho.2019.10.002</w:t>
      </w:r>
    </w:p>
    <w:p w14:paraId="29278246">
      <w:pPr>
        <w:numPr>
          <w:ilvl w:val="0"/>
          <w:numId w:val="9"/>
        </w:numPr>
        <w:spacing w:before="156" w:beforeLines="50" w:line="240" w:lineRule="auto"/>
        <w:ind w:left="425" w:firstLine="0" w:firstLineChars="0"/>
        <w:rPr>
          <w:rFonts w:ascii="Times New Roman" w:hAnsi="Times New Roman" w:cs="Times New Roman"/>
          <w:sz w:val="24"/>
        </w:rPr>
      </w:pPr>
      <w:r>
        <w:rPr>
          <w:rFonts w:ascii="Times New Roman" w:hAnsi="Times New Roman" w:cs="Times New Roman"/>
          <w:sz w:val="24"/>
        </w:rPr>
        <w:t>Greenwood, M. (1926). A Report on the Natural Duration of Cancer. In Reports of Public Health and Related Subjects (Vol. 33, pp. 1-26): London: H.M.S.O.</w:t>
      </w:r>
    </w:p>
    <w:p w14:paraId="2DCDACD4">
      <w:pPr>
        <w:numPr>
          <w:ilvl w:val="0"/>
          <w:numId w:val="9"/>
        </w:numPr>
        <w:spacing w:before="156" w:beforeLines="50" w:line="240" w:lineRule="auto"/>
        <w:ind w:left="425" w:firstLine="0" w:firstLineChars="0"/>
        <w:rPr>
          <w:rFonts w:ascii="Times New Roman" w:hAnsi="Times New Roman" w:cs="Times New Roman"/>
          <w:sz w:val="24"/>
        </w:rPr>
      </w:pPr>
      <w:r>
        <w:rPr>
          <w:rFonts w:ascii="Times New Roman" w:hAnsi="Times New Roman" w:cs="Times New Roman"/>
          <w:sz w:val="24"/>
        </w:rPr>
        <w:t>Group., N. C. (1995). Chemotherapy in non-small cell lung cancer: a meta-analysis using updated data on individual patients from 52 randomised clinical trials. Non-small Cell Lung Cancer Collaborative Group. Bmj, 311(7010), 899-909. Retrieved from https://www.ncbi.nlm.nih.gov/pubmed/7580546</w:t>
      </w:r>
    </w:p>
    <w:p w14:paraId="41AFFD74">
      <w:pPr>
        <w:numPr>
          <w:ilvl w:val="0"/>
          <w:numId w:val="9"/>
        </w:numPr>
        <w:spacing w:before="156" w:beforeLines="50" w:line="240" w:lineRule="auto"/>
        <w:ind w:left="425" w:firstLine="0" w:firstLineChars="0"/>
        <w:rPr>
          <w:rFonts w:ascii="Times New Roman" w:hAnsi="Times New Roman" w:cs="Times New Roman"/>
          <w:sz w:val="24"/>
        </w:rPr>
      </w:pPr>
      <w:r>
        <w:rPr>
          <w:rFonts w:ascii="Times New Roman" w:hAnsi="Times New Roman" w:cs="Times New Roman"/>
          <w:sz w:val="24"/>
        </w:rPr>
        <w:t>Gul, N., &amp; van Egmond, M. (2015). Antibody-Dependent Phagocytosis of Tumor Cells by Macrophages: A Potent Effector Mechanism of Monoclonal Antibody Therapy of Cancer. Cancer Res, 75(23), 5008-5013. doi:10.1158/0008-5472.CAN-15-1330</w:t>
      </w:r>
    </w:p>
    <w:p w14:paraId="3E15483F">
      <w:pPr>
        <w:numPr>
          <w:ilvl w:val="0"/>
          <w:numId w:val="9"/>
        </w:numPr>
        <w:spacing w:before="156" w:beforeLines="50" w:line="240" w:lineRule="auto"/>
        <w:ind w:left="425" w:firstLine="0" w:firstLineChars="0"/>
        <w:rPr>
          <w:rFonts w:ascii="Times New Roman" w:hAnsi="Times New Roman" w:cs="Times New Roman"/>
          <w:sz w:val="24"/>
        </w:rPr>
      </w:pPr>
      <w:r>
        <w:rPr>
          <w:rFonts w:ascii="Times New Roman" w:hAnsi="Times New Roman" w:cs="Times New Roman"/>
          <w:sz w:val="24"/>
        </w:rPr>
        <w:t>Haanen, J., Carbonnel, F., Robert, C., Kerr, K. M., Peters, S., Larkin, J., et al. (2018). Management of toxicities from immunotherapy: ESMO Clinical Practice Guidelines for diagnosis, treatment and follow-up. Ann Oncol, 29(Suppl 4), iv264-iv266. doi:10.1093/annonc/mdy162</w:t>
      </w:r>
    </w:p>
    <w:p w14:paraId="4A3FF938">
      <w:pPr>
        <w:numPr>
          <w:ilvl w:val="0"/>
          <w:numId w:val="9"/>
        </w:numPr>
        <w:spacing w:before="156" w:beforeLines="50" w:line="240" w:lineRule="auto"/>
        <w:ind w:left="425" w:firstLine="0" w:firstLineChars="0"/>
        <w:rPr>
          <w:rFonts w:ascii="Times New Roman" w:hAnsi="Times New Roman" w:cs="Times New Roman"/>
          <w:sz w:val="24"/>
        </w:rPr>
      </w:pPr>
      <w:r>
        <w:rPr>
          <w:rFonts w:ascii="Times New Roman" w:hAnsi="Times New Roman" w:cs="Times New Roman"/>
          <w:sz w:val="24"/>
        </w:rPr>
        <w:t>Hanna, N., Johnson, D., Temin, S., Baker, S., Jr., Brahmer, J., Ellis, P. M., et al. (2017). Systemic Therapy for Stage IV Non-Small-Cell Lung Cancer: American Society of Clinical Oncology Clinical Practice Guideline Update. J Clin Oncol, 35(30), 3484-3515. doi:10.1200/jco.2017.74.6065</w:t>
      </w:r>
    </w:p>
    <w:p w14:paraId="765863DB">
      <w:pPr>
        <w:numPr>
          <w:ilvl w:val="0"/>
          <w:numId w:val="9"/>
        </w:numPr>
        <w:spacing w:before="156" w:beforeLines="50" w:line="240" w:lineRule="auto"/>
        <w:ind w:left="425" w:firstLine="0" w:firstLineChars="0"/>
        <w:rPr>
          <w:rFonts w:ascii="Times New Roman" w:hAnsi="Times New Roman" w:cs="Times New Roman"/>
          <w:sz w:val="24"/>
        </w:rPr>
      </w:pPr>
      <w:r>
        <w:rPr>
          <w:rFonts w:ascii="Times New Roman" w:hAnsi="Times New Roman" w:cs="Times New Roman"/>
          <w:sz w:val="24"/>
        </w:rPr>
        <w:t>Hanna, N., Neubauer, M., Yiannoutsos, C., McGarry, R., Arseneau, J., Ansari, R., et al. (2008). Phase III study of cisplatin, etoposide, and concurrent chest radiation with or without consolidation docetaxel in patients with inoperable stage III non-small-cell lung cancer: the Hoosier Oncology Group and U.S. Oncology. J Clin Oncol, 26(35), 5755-5760. doi:10.1200/jco.2008.17.7840</w:t>
      </w:r>
    </w:p>
    <w:p w14:paraId="3C8955B9">
      <w:pPr>
        <w:numPr>
          <w:ilvl w:val="0"/>
          <w:numId w:val="9"/>
        </w:numPr>
        <w:spacing w:before="156" w:beforeLines="50" w:line="240" w:lineRule="auto"/>
        <w:ind w:left="425" w:firstLine="0" w:firstLineChars="0"/>
        <w:rPr>
          <w:rFonts w:ascii="Times New Roman" w:hAnsi="Times New Roman" w:cs="Times New Roman"/>
          <w:sz w:val="24"/>
        </w:rPr>
      </w:pPr>
      <w:r>
        <w:rPr>
          <w:rFonts w:ascii="Times New Roman" w:hAnsi="Times New Roman" w:cs="Times New Roman"/>
          <w:sz w:val="24"/>
        </w:rPr>
        <w:t>Hubbard, S. R., &amp; Miller, W. T. (2007). Receptor tyrosine kinases: mechanisms of activation and signaling. Curr Opin Cell Biol, 19(2), 117-123. doi:10.1016/j.ceb.2007.02.010</w:t>
      </w:r>
    </w:p>
    <w:p w14:paraId="76D5E311">
      <w:pPr>
        <w:numPr>
          <w:ilvl w:val="0"/>
          <w:numId w:val="9"/>
        </w:numPr>
        <w:spacing w:before="156" w:beforeLines="50" w:line="240" w:lineRule="auto"/>
        <w:ind w:left="425" w:firstLine="0" w:firstLineChars="0"/>
        <w:rPr>
          <w:rFonts w:ascii="Times New Roman" w:hAnsi="Times New Roman" w:cs="Times New Roman"/>
          <w:sz w:val="24"/>
        </w:rPr>
      </w:pPr>
      <w:r>
        <w:rPr>
          <w:rFonts w:ascii="Times New Roman" w:hAnsi="Times New Roman" w:cs="Times New Roman"/>
          <w:sz w:val="24"/>
        </w:rPr>
        <w:t>IB, S. (August 2020). Investigator’s Brochure, Sitravatinib. Version 7.0.</w:t>
      </w:r>
    </w:p>
    <w:p w14:paraId="1C5787FF">
      <w:pPr>
        <w:numPr>
          <w:ilvl w:val="0"/>
          <w:numId w:val="9"/>
        </w:numPr>
        <w:spacing w:before="156" w:beforeLines="50" w:line="240" w:lineRule="auto"/>
        <w:ind w:left="425" w:firstLine="0" w:firstLineChars="0"/>
        <w:rPr>
          <w:rFonts w:ascii="Times New Roman" w:hAnsi="Times New Roman" w:cs="Times New Roman"/>
          <w:sz w:val="24"/>
        </w:rPr>
      </w:pPr>
      <w:r>
        <w:rPr>
          <w:rFonts w:ascii="Times New Roman" w:hAnsi="Times New Roman" w:cs="Times New Roman"/>
          <w:sz w:val="24"/>
        </w:rPr>
        <w:t>Labrijn, A. F., Buijsse, A. O., van den Bremer, E. T., Verwilligen, A. Y., Bleeker, W. K., Thorpe, S. J., et al. (2009). Therapeutic IgG4 antibodies engage in Fab-arm exchange with endogenous human IgG4 in vivo. Nat Biotechnol, 27(8), 767-771. doi:10.1038/nbt.1553</w:t>
      </w:r>
    </w:p>
    <w:p w14:paraId="56A216EB">
      <w:pPr>
        <w:numPr>
          <w:ilvl w:val="0"/>
          <w:numId w:val="9"/>
        </w:numPr>
        <w:spacing w:before="156" w:beforeLines="50" w:line="240" w:lineRule="auto"/>
        <w:ind w:left="425" w:firstLine="0" w:firstLineChars="0"/>
        <w:rPr>
          <w:rFonts w:ascii="Times New Roman" w:hAnsi="Times New Roman" w:cs="Times New Roman"/>
          <w:sz w:val="24"/>
        </w:rPr>
      </w:pPr>
      <w:r>
        <w:rPr>
          <w:rFonts w:ascii="Times New Roman" w:hAnsi="Times New Roman" w:cs="Times New Roman"/>
          <w:sz w:val="24"/>
        </w:rPr>
        <w:t>Levey, A. S., Stevens, L. A., Schmid, C. H., Zhang, Y. L., Castro, A. F., 3rd, Feldman, H. I., et al. (2009). A new equation to estimate glomerular filtration rate. Ann Intern Med, 150(9), 604-612. doi:10.7326/0003-4819-150-9-200905050-00006</w:t>
      </w:r>
    </w:p>
    <w:p w14:paraId="5D525157">
      <w:pPr>
        <w:numPr>
          <w:ilvl w:val="0"/>
          <w:numId w:val="9"/>
        </w:numPr>
        <w:spacing w:before="156" w:beforeLines="50" w:line="240" w:lineRule="auto"/>
        <w:ind w:left="425" w:firstLine="0" w:firstLineChars="0"/>
        <w:rPr>
          <w:rFonts w:ascii="Times New Roman" w:hAnsi="Times New Roman" w:cs="Times New Roman"/>
          <w:sz w:val="24"/>
        </w:rPr>
      </w:pPr>
      <w:r>
        <w:rPr>
          <w:rFonts w:ascii="Times New Roman" w:hAnsi="Times New Roman" w:cs="Times New Roman"/>
          <w:sz w:val="24"/>
        </w:rPr>
        <w:t>Locy, H., de Mey, S., de Mey, W., De Ridder, M., Thielemans, K., &amp; Maenhout, S. K. (2018). Immunomodulation of the Tumor Microenvironment: Turn Foe Into Friend. Front Immunol, 9, 2909. doi:10.3389/fimmu.2018.02909</w:t>
      </w:r>
    </w:p>
    <w:p w14:paraId="569ADF8B">
      <w:pPr>
        <w:numPr>
          <w:ilvl w:val="0"/>
          <w:numId w:val="9"/>
        </w:numPr>
        <w:spacing w:before="156" w:beforeLines="50" w:line="240" w:lineRule="auto"/>
        <w:ind w:left="425" w:firstLine="0" w:firstLineChars="0"/>
        <w:rPr>
          <w:rFonts w:ascii="Times New Roman" w:hAnsi="Times New Roman" w:cs="Times New Roman"/>
          <w:sz w:val="24"/>
        </w:rPr>
      </w:pPr>
      <w:r>
        <w:rPr>
          <w:rFonts w:ascii="Times New Roman" w:hAnsi="Times New Roman" w:cs="Times New Roman"/>
          <w:sz w:val="24"/>
        </w:rPr>
        <w:t>Ma, Y., Pitt, J. M., Li, Q., &amp; Yang, H. (2017). The renaissance of anti-neoplastic immunity from tumor cell demise. Immunol Rev, 280(1), 194-206. doi:10.1111/imr.12586</w:t>
      </w:r>
    </w:p>
    <w:p w14:paraId="7998D70D">
      <w:pPr>
        <w:numPr>
          <w:ilvl w:val="0"/>
          <w:numId w:val="9"/>
        </w:numPr>
        <w:spacing w:before="156" w:beforeLines="50" w:line="240" w:lineRule="auto"/>
        <w:ind w:left="425" w:firstLine="0" w:firstLineChars="0"/>
        <w:rPr>
          <w:rFonts w:ascii="Times New Roman" w:hAnsi="Times New Roman" w:cs="Times New Roman"/>
          <w:sz w:val="24"/>
        </w:rPr>
      </w:pPr>
      <w:r>
        <w:rPr>
          <w:rFonts w:ascii="Times New Roman" w:hAnsi="Times New Roman" w:cs="Times New Roman"/>
          <w:sz w:val="24"/>
        </w:rPr>
        <w:t>Makarova-Rusher, O. V., Medina-Echeverz, J., Duffy, A. G., &amp; Greten, T. F. (2015). The yin and yang of evasion and immune activation in HCC. J Hepatol, 62(6), 1420-1429. doi:10.1016/j.jhep.2015.02.038</w:t>
      </w:r>
    </w:p>
    <w:p w14:paraId="6748FA82">
      <w:pPr>
        <w:numPr>
          <w:ilvl w:val="0"/>
          <w:numId w:val="9"/>
        </w:numPr>
        <w:spacing w:before="156" w:beforeLines="50" w:line="240" w:lineRule="auto"/>
        <w:ind w:left="425" w:firstLine="0" w:firstLineChars="0"/>
        <w:rPr>
          <w:rFonts w:ascii="Times New Roman" w:hAnsi="Times New Roman" w:cs="Times New Roman"/>
          <w:sz w:val="24"/>
        </w:rPr>
      </w:pPr>
      <w:r>
        <w:rPr>
          <w:rFonts w:ascii="Times New Roman" w:hAnsi="Times New Roman" w:cs="Times New Roman"/>
          <w:sz w:val="24"/>
        </w:rPr>
        <w:t>Msaouel P, Siefker-Radtke A, Sweis R, &amp; al., e. (2019). 34th Annual Meeting &amp; Pre-Conference Programs of the Society for Immunotherapy of Cancer (SITC 2019): part 2 : National Harbor, MD, USA. 10 November 2019. J Immunother Cancer, 7(Suppl 1), 283. doi:10.1186/s40425-019-0764-0</w:t>
      </w:r>
    </w:p>
    <w:p w14:paraId="717E202A">
      <w:pPr>
        <w:numPr>
          <w:ilvl w:val="0"/>
          <w:numId w:val="9"/>
        </w:numPr>
        <w:spacing w:before="156" w:beforeLines="50" w:line="240" w:lineRule="auto"/>
        <w:ind w:left="425" w:firstLine="0" w:firstLineChars="0"/>
        <w:rPr>
          <w:rFonts w:ascii="Times New Roman" w:hAnsi="Times New Roman" w:cs="Times New Roman"/>
          <w:sz w:val="24"/>
        </w:rPr>
      </w:pPr>
      <w:r>
        <w:rPr>
          <w:rFonts w:ascii="Times New Roman" w:hAnsi="Times New Roman" w:cs="Times New Roman"/>
          <w:sz w:val="24"/>
        </w:rPr>
        <w:t xml:space="preserve">Msaouel P, Siefker-Radtke A, Sweis R, &amp; al., e. (2020). Sitravatinib (sitra) in combination with nivolumab (nivo) demonstrates clinical activity in checkpoint inhibitor (CPI) naïve, platinum-experienced patients (pts) with advanced or metastatic urothelial carcinoma (UC) [ESMO Vitural Congress 2020 Abstract 705MO]. . Ann Oncol., 2020; 31(suppl_4): S550-S550. 10.1016/annonc/annonc274. </w:t>
      </w:r>
    </w:p>
    <w:p w14:paraId="62A17808">
      <w:pPr>
        <w:numPr>
          <w:ilvl w:val="0"/>
          <w:numId w:val="9"/>
        </w:numPr>
        <w:spacing w:before="156" w:beforeLines="50" w:line="240" w:lineRule="auto"/>
        <w:ind w:left="425" w:firstLine="0" w:firstLineChars="0"/>
        <w:rPr>
          <w:rFonts w:ascii="Times New Roman" w:hAnsi="Times New Roman" w:cs="Times New Roman"/>
          <w:sz w:val="24"/>
        </w:rPr>
      </w:pPr>
      <w:r>
        <w:rPr>
          <w:rFonts w:ascii="Times New Roman" w:hAnsi="Times New Roman" w:cs="Times New Roman"/>
          <w:sz w:val="24"/>
        </w:rPr>
        <w:t xml:space="preserve">NCCN. (2021). National Center for Biotechnology Information. Reference Sequence NP_776160.2 https://www.ncbi.nlm.nih.gov/protein/NP_776160.2 </w:t>
      </w:r>
    </w:p>
    <w:p w14:paraId="268BF4CA">
      <w:pPr>
        <w:numPr>
          <w:ilvl w:val="0"/>
          <w:numId w:val="9"/>
        </w:numPr>
        <w:spacing w:before="156" w:beforeLines="50" w:line="240" w:lineRule="auto"/>
        <w:ind w:left="425" w:firstLine="0" w:firstLineChars="0"/>
        <w:rPr>
          <w:rFonts w:ascii="Times New Roman" w:hAnsi="Times New Roman" w:cs="Times New Roman"/>
          <w:sz w:val="24"/>
        </w:rPr>
      </w:pPr>
      <w:r>
        <w:rPr>
          <w:rFonts w:ascii="Times New Roman" w:hAnsi="Times New Roman" w:cs="Times New Roman"/>
          <w:sz w:val="24"/>
        </w:rPr>
        <w:t xml:space="preserve">National Comprehensive Cancer Network [Internet]. NCCN Guidelines for treatment of cancer: non-small cell lung cancer, version 2, 2021. Available from: https://www.nccn.org/professionals/physician_gls/pdf/nscl.pdf. . </w:t>
      </w:r>
    </w:p>
    <w:p w14:paraId="06099747">
      <w:pPr>
        <w:numPr>
          <w:ilvl w:val="0"/>
          <w:numId w:val="9"/>
        </w:numPr>
        <w:spacing w:before="156" w:beforeLines="50" w:line="240" w:lineRule="auto"/>
        <w:ind w:left="425" w:firstLine="0" w:firstLineChars="0"/>
        <w:rPr>
          <w:rFonts w:ascii="Times New Roman" w:hAnsi="Times New Roman" w:cs="Times New Roman"/>
          <w:sz w:val="24"/>
        </w:rPr>
      </w:pPr>
      <w:r>
        <w:rPr>
          <w:rFonts w:ascii="Times New Roman" w:hAnsi="Times New Roman" w:cs="Times New Roman"/>
          <w:sz w:val="24"/>
        </w:rPr>
        <w:t xml:space="preserve">Percent IJ, Reynolds CH, Konduri K, &amp; al., e. (2020). Phase III trial of sitravatinib plus nivolumab vs. docetaxel for treatment of NSCLC after platinum-based chemotherapy and immunotherapy (SAPPHIRE). [ASCO Abstract TPS9635]. J Clin Oncol, 2020 38(suppl_15). </w:t>
      </w:r>
    </w:p>
    <w:p w14:paraId="476611CF">
      <w:pPr>
        <w:numPr>
          <w:ilvl w:val="0"/>
          <w:numId w:val="9"/>
        </w:numPr>
        <w:spacing w:before="156" w:beforeLines="50" w:line="240" w:lineRule="auto"/>
        <w:ind w:left="425" w:firstLine="0" w:firstLineChars="0"/>
        <w:rPr>
          <w:rFonts w:ascii="Times New Roman" w:hAnsi="Times New Roman" w:cs="Times New Roman"/>
          <w:sz w:val="24"/>
        </w:rPr>
      </w:pPr>
      <w:r>
        <w:rPr>
          <w:rFonts w:ascii="Times New Roman" w:hAnsi="Times New Roman" w:cs="Times New Roman"/>
          <w:sz w:val="24"/>
        </w:rPr>
        <w:t>Prieto, J., Melero, I., &amp; Sangro, B. (2015). Immunological landscape and immunotherapy of hepatocellular carcinoma. Nat Rev Gastroenterol Hepatol, 12(12), 681-700. doi:10.1038/nrgastro.2015.173</w:t>
      </w:r>
    </w:p>
    <w:p w14:paraId="2EFE83CF">
      <w:pPr>
        <w:numPr>
          <w:ilvl w:val="0"/>
          <w:numId w:val="9"/>
        </w:numPr>
        <w:spacing w:before="156" w:beforeLines="50" w:line="240" w:lineRule="auto"/>
        <w:ind w:left="425" w:firstLine="0" w:firstLineChars="0"/>
        <w:rPr>
          <w:rFonts w:ascii="Times New Roman" w:hAnsi="Times New Roman" w:cs="Times New Roman"/>
          <w:sz w:val="24"/>
        </w:rPr>
      </w:pPr>
      <w:r>
        <w:rPr>
          <w:rFonts w:ascii="Times New Roman" w:hAnsi="Times New Roman" w:cs="Times New Roman"/>
          <w:sz w:val="24"/>
        </w:rPr>
        <w:t>Senan, S., Brade, A., Wang, L. H., Vansteenkiste, J., Dakhil, S., Biesma, B., et al. (2016). PROCLAIM: Randomized Phase III Trial of Pemetrexed-Cisplatin or Etoposide-Cisplatin Plus Thoracic Radiation Therapy Followed by Consolidation Chemotherapy in Locally Advanced Nonsquamous Non-Small-Cell Lung Cancer. J Clin Oncol, 34(9), 953-962. doi:10.1200/jco.2015.64.8824</w:t>
      </w:r>
    </w:p>
    <w:p w14:paraId="50B37AA2">
      <w:pPr>
        <w:numPr>
          <w:ilvl w:val="0"/>
          <w:numId w:val="9"/>
        </w:numPr>
        <w:spacing w:before="156" w:beforeLines="50" w:line="240" w:lineRule="auto"/>
        <w:ind w:left="425" w:firstLine="0" w:firstLineChars="0"/>
        <w:rPr>
          <w:rFonts w:ascii="Times New Roman" w:hAnsi="Times New Roman" w:cs="Times New Roman"/>
          <w:sz w:val="24"/>
        </w:rPr>
      </w:pPr>
      <w:r>
        <w:rPr>
          <w:rFonts w:ascii="Times New Roman" w:hAnsi="Times New Roman" w:cs="Times New Roman"/>
          <w:sz w:val="24"/>
        </w:rPr>
        <w:t>Sharabi, A. B., Lim, M., DeWeese, T. L., &amp; Drake, C. G. (2015). Radiation and checkpoint blockade immunotherapy: radiosensitisation and potential mechanisms of synergy. Lancet Oncol, 16(13), e498-509. doi:10.1016/s1470-2045(15)00007-8</w:t>
      </w:r>
    </w:p>
    <w:p w14:paraId="2A152AB6">
      <w:pPr>
        <w:numPr>
          <w:ilvl w:val="0"/>
          <w:numId w:val="9"/>
        </w:numPr>
        <w:spacing w:before="156" w:beforeLines="50" w:line="240" w:lineRule="auto"/>
        <w:ind w:left="425" w:firstLine="0" w:firstLineChars="0"/>
        <w:rPr>
          <w:rFonts w:ascii="Times New Roman" w:hAnsi="Times New Roman" w:cs="Times New Roman"/>
          <w:sz w:val="24"/>
        </w:rPr>
      </w:pPr>
      <w:r>
        <w:rPr>
          <w:rFonts w:ascii="Times New Roman" w:hAnsi="Times New Roman" w:cs="Times New Roman"/>
          <w:sz w:val="24"/>
        </w:rPr>
        <w:t>Tsujino, K., Kurata, T., Yamamoto, S., Kawaguchi, T., Kubo, A., Isa, S., et al. (2013). Is consolidation chemotherapy after concurrent chemo-radiotherapy beneficial for patients with locally advanced non-small-cell lung cancer? A pooled analysis of the literature. J Thorac Oncol, 8(9), 1181-1189. doi:10.1097/JTO.0b013e3182988348</w:t>
      </w:r>
    </w:p>
    <w:p w14:paraId="64F7785F">
      <w:pPr>
        <w:numPr>
          <w:ilvl w:val="0"/>
          <w:numId w:val="9"/>
        </w:numPr>
        <w:spacing w:before="156" w:beforeLines="50" w:line="240" w:lineRule="auto"/>
        <w:ind w:left="425" w:firstLine="0" w:firstLineChars="0"/>
        <w:rPr>
          <w:rFonts w:ascii="Times New Roman" w:hAnsi="Times New Roman" w:cs="Times New Roman"/>
          <w:sz w:val="24"/>
        </w:rPr>
      </w:pPr>
      <w:r>
        <w:rPr>
          <w:rFonts w:ascii="Times New Roman" w:hAnsi="Times New Roman" w:cs="Times New Roman"/>
          <w:sz w:val="24"/>
        </w:rPr>
        <w:t>Vokes, E. E., Herndon, J. E., 2nd, Kelley, M. J., Cicchetti, M. G., Ramnath, N., Neill, H., et al. (2007). Induction chemotherapy followed by chemoradiotherapy compared with chemoradiotherapy alone for regionally advanced unresectable stage III Non-small-cell lung cancer: Cancer and Leukemia Group B. J Clin Oncol, 25(13), 1698-1704. doi:10.1200/jco.2006.07.3569</w:t>
      </w:r>
    </w:p>
    <w:p w14:paraId="30D2BC80">
      <w:pPr>
        <w:numPr>
          <w:ilvl w:val="0"/>
          <w:numId w:val="9"/>
        </w:numPr>
        <w:spacing w:before="156" w:beforeLines="50" w:line="240" w:lineRule="auto"/>
        <w:ind w:left="425" w:firstLine="0" w:firstLineChars="0"/>
        <w:rPr>
          <w:rFonts w:ascii="Times New Roman" w:hAnsi="Times New Roman" w:cs="Times New Roman"/>
          <w:sz w:val="24"/>
        </w:rPr>
      </w:pPr>
      <w:r>
        <w:rPr>
          <w:rFonts w:ascii="Times New Roman" w:hAnsi="Times New Roman" w:cs="Times New Roman"/>
          <w:sz w:val="24"/>
        </w:rPr>
        <w:t xml:space="preserve">Werner T, Heist R, Carvajal R, &amp; al, e. (2017). A study of MGCD516, a receptor tyrosine kinase (RTK) inhibitor, in molecularly selected patients with NSCLC or other advanced solid tumors [IASLC Abstract P2. 06-001]. . J Thorac Oncol., 2017, 12(1): S1068-S1069. </w:t>
      </w:r>
    </w:p>
    <w:p w14:paraId="5030BC6B">
      <w:pPr>
        <w:numPr>
          <w:ilvl w:val="0"/>
          <w:numId w:val="9"/>
        </w:numPr>
        <w:spacing w:before="156" w:beforeLines="50" w:line="240" w:lineRule="auto"/>
        <w:ind w:left="425" w:firstLine="0" w:firstLineChars="0"/>
        <w:rPr>
          <w:rFonts w:ascii="Times New Roman" w:hAnsi="Times New Roman" w:cs="Times New Roman"/>
          <w:sz w:val="24"/>
        </w:rPr>
      </w:pPr>
      <w:r>
        <w:rPr>
          <w:rFonts w:ascii="Times New Roman" w:hAnsi="Times New Roman" w:cs="Times New Roman"/>
          <w:sz w:val="24"/>
        </w:rPr>
        <w:t>Yamamoto, N., Nakagawa, K., Nishimura, Y., Tsujino, K., Satouchi, M., Kudo, S., et al. (2010). Phase III study comparing second- and third-generation regimens with concurrent thoracic radiotherapy in patients with unresectable stage III non-small-cell lung cancer: West Japan Thoracic Oncology Group WJTOG0105. J Clin Oncol, 28(23), 3739-3745. doi:10.1200/jco.2009.24.5050</w:t>
      </w:r>
    </w:p>
    <w:p w14:paraId="23B2F44A">
      <w:pPr>
        <w:numPr>
          <w:ilvl w:val="0"/>
          <w:numId w:val="9"/>
        </w:numPr>
        <w:spacing w:before="156" w:beforeLines="50" w:line="240" w:lineRule="auto"/>
        <w:ind w:left="425" w:firstLine="0" w:firstLineChars="0"/>
        <w:rPr>
          <w:rFonts w:ascii="Times New Roman" w:hAnsi="Times New Roman" w:cs="Times New Roman"/>
          <w:sz w:val="24"/>
        </w:rPr>
      </w:pPr>
      <w:r>
        <w:rPr>
          <w:rFonts w:ascii="Times New Roman" w:hAnsi="Times New Roman" w:cs="Times New Roman"/>
          <w:sz w:val="24"/>
        </w:rPr>
        <w:t>Zhang, T., Song, X., Xu, L., Ma, J., Zhang, Y., Gong, W., et al. (2018). The binding of an anti-PD-1 antibody to FcgammaRIota has a profound impact on its biological functions. Cancer Immunol Immunother, 67(7), 1079-1090. doi:10.1007/s00262-018-2160-x</w:t>
      </w:r>
    </w:p>
    <w:p w14:paraId="69C6D7AF">
      <w:pPr>
        <w:spacing w:line="240" w:lineRule="auto"/>
        <w:ind w:firstLine="420" w:firstLineChars="200"/>
        <w:rPr>
          <w:rFonts w:ascii="Times New Roman" w:hAnsi="Times New Roman" w:cs="Times New Roman"/>
        </w:rPr>
      </w:pPr>
      <w:r>
        <w:rPr>
          <w:rFonts w:ascii="Times New Roman" w:hAnsi="Times New Roman" w:cs="Times New Roman"/>
        </w:rPr>
        <w:br w:type="page"/>
      </w:r>
    </w:p>
    <w:p w14:paraId="77E81331">
      <w:pPr>
        <w:pStyle w:val="2"/>
        <w:spacing w:line="360" w:lineRule="auto"/>
        <w:ind w:firstLineChars="200"/>
        <w:rPr>
          <w:rFonts w:ascii="Times New Roman" w:hAnsi="Times New Roman" w:cs="Times New Roman"/>
        </w:rPr>
      </w:pPr>
      <w:bookmarkStart w:id="165" w:name="_Toc1419827433"/>
      <w:bookmarkStart w:id="166" w:name="_Toc1369601962"/>
      <w:r>
        <w:rPr>
          <w:rFonts w:ascii="Times New Roman" w:hAnsi="Times New Roman" w:cs="Times New Roman"/>
        </w:rPr>
        <w:t>17 Appendices</w:t>
      </w:r>
      <w:bookmarkEnd w:id="165"/>
      <w:bookmarkEnd w:id="166"/>
    </w:p>
    <w:p w14:paraId="2BD83A02">
      <w:pPr>
        <w:pStyle w:val="4"/>
        <w:spacing w:line="360" w:lineRule="auto"/>
        <w:ind w:firstLineChars="200"/>
        <w:rPr>
          <w:rFonts w:hint="default" w:ascii="Times New Roman" w:hAnsi="Times New Roman"/>
        </w:rPr>
      </w:pPr>
      <w:bookmarkStart w:id="167" w:name="_Toc201380967"/>
      <w:r>
        <w:rPr>
          <w:rFonts w:hint="default" w:ascii="Times New Roman" w:hAnsi="Times New Roman"/>
        </w:rPr>
        <w:t>Appendix 1. ECOG Performance Status</w:t>
      </w:r>
      <w:bookmarkEnd w:id="167"/>
    </w:p>
    <w:tbl>
      <w:tblPr>
        <w:tblStyle w:val="15"/>
        <w:tblW w:w="5000" w:type="pct"/>
        <w:tblInd w:w="0" w:type="dxa"/>
        <w:tblLayout w:type="autofit"/>
        <w:tblCellMar>
          <w:top w:w="0" w:type="dxa"/>
          <w:left w:w="108" w:type="dxa"/>
          <w:bottom w:w="0" w:type="dxa"/>
          <w:right w:w="108" w:type="dxa"/>
        </w:tblCellMar>
      </w:tblPr>
      <w:tblGrid>
        <w:gridCol w:w="812"/>
        <w:gridCol w:w="7734"/>
      </w:tblGrid>
      <w:tr w14:paraId="060D8AAA">
        <w:tc>
          <w:tcPr>
            <w:tcW w:w="0" w:type="auto"/>
            <w:gridSpan w:val="2"/>
            <w:tcMar>
              <w:top w:w="120" w:type="dxa"/>
              <w:left w:w="120" w:type="dxa"/>
              <w:bottom w:w="120" w:type="dxa"/>
              <w:right w:w="120" w:type="dxa"/>
            </w:tcMar>
            <w:vAlign w:val="center"/>
          </w:tcPr>
          <w:p w14:paraId="78E2CE1B">
            <w:pPr>
              <w:widowControl/>
              <w:spacing w:before="150" w:after="150" w:line="360" w:lineRule="auto"/>
              <w:jc w:val="center"/>
              <w:rPr>
                <w:rFonts w:ascii="Times New Roman" w:hAnsi="Times New Roman" w:cs="Times New Roman"/>
                <w:b/>
                <w:bCs/>
                <w:szCs w:val="21"/>
              </w:rPr>
            </w:pPr>
            <w:r>
              <w:rPr>
                <w:rFonts w:ascii="Times New Roman" w:hAnsi="Times New Roman" w:eastAsia="宋体" w:cs="Times New Roman"/>
                <w:b/>
                <w:bCs/>
                <w:kern w:val="0"/>
                <w:szCs w:val="21"/>
                <w:lang w:bidi="ar"/>
              </w:rPr>
              <w:t>Table 2. ECOG Performance Status Scale</w:t>
            </w:r>
          </w:p>
        </w:tc>
      </w:tr>
      <w:tr w14:paraId="37CE11CF">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667C52A3">
            <w:pPr>
              <w:widowControl/>
              <w:spacing w:line="360" w:lineRule="auto"/>
              <w:jc w:val="center"/>
              <w:rPr>
                <w:rFonts w:ascii="Times New Roman" w:hAnsi="Times New Roman" w:cs="Times New Roman"/>
                <w:b/>
                <w:bCs/>
                <w:szCs w:val="21"/>
              </w:rPr>
            </w:pPr>
            <w:r>
              <w:rPr>
                <w:rFonts w:ascii="Times New Roman" w:hAnsi="Times New Roman" w:eastAsia="宋体" w:cs="Times New Roman"/>
                <w:b/>
                <w:bCs/>
                <w:kern w:val="0"/>
                <w:szCs w:val="21"/>
                <w:lang w:bidi="ar"/>
              </w:rPr>
              <w:t>Grade</w:t>
            </w:r>
          </w:p>
        </w:tc>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2D8A5DC5">
            <w:pPr>
              <w:widowControl/>
              <w:spacing w:line="360" w:lineRule="auto"/>
              <w:jc w:val="center"/>
              <w:rPr>
                <w:rFonts w:ascii="Times New Roman" w:hAnsi="Times New Roman" w:cs="Times New Roman"/>
                <w:b/>
                <w:bCs/>
                <w:szCs w:val="21"/>
              </w:rPr>
            </w:pPr>
            <w:r>
              <w:rPr>
                <w:rFonts w:ascii="Times New Roman" w:hAnsi="Times New Roman" w:eastAsia="宋体" w:cs="Times New Roman"/>
                <w:b/>
                <w:bCs/>
                <w:kern w:val="0"/>
                <w:szCs w:val="21"/>
                <w:lang w:bidi="ar"/>
              </w:rPr>
              <w:t>Description</w:t>
            </w:r>
          </w:p>
        </w:tc>
      </w:tr>
      <w:tr w14:paraId="7BF0FB6E">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5F75D94A">
            <w:pPr>
              <w:widowControl/>
              <w:spacing w:after="180" w:line="360" w:lineRule="auto"/>
              <w:jc w:val="center"/>
              <w:rPr>
                <w:rFonts w:ascii="Times New Roman" w:hAnsi="Times New Roman" w:cs="Times New Roman"/>
                <w:szCs w:val="21"/>
              </w:rPr>
            </w:pPr>
            <w:r>
              <w:rPr>
                <w:rFonts w:ascii="Times New Roman" w:hAnsi="Times New Roman" w:eastAsia="宋体" w:cs="Times New Roman"/>
                <w:kern w:val="0"/>
                <w:szCs w:val="21"/>
                <w:lang w:bidi="ar"/>
              </w:rPr>
              <w:t>0</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4CE2CFFB">
            <w:pPr>
              <w:widowControl/>
              <w:spacing w:after="180" w:line="360" w:lineRule="auto"/>
              <w:jc w:val="center"/>
              <w:rPr>
                <w:rFonts w:ascii="Times New Roman" w:hAnsi="Times New Roman" w:cs="Times New Roman"/>
                <w:szCs w:val="21"/>
              </w:rPr>
            </w:pPr>
            <w:r>
              <w:rPr>
                <w:rFonts w:ascii="Times New Roman" w:hAnsi="Times New Roman" w:eastAsia="宋体" w:cs="Times New Roman"/>
                <w:kern w:val="0"/>
                <w:szCs w:val="21"/>
                <w:lang w:bidi="ar"/>
              </w:rPr>
              <w:t>Fully active, able to carry on all pre-disease activities without restriction.</w:t>
            </w:r>
          </w:p>
        </w:tc>
      </w:tr>
      <w:tr w14:paraId="4DD21B51">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636A550D">
            <w:pPr>
              <w:widowControl/>
              <w:spacing w:after="180" w:line="360" w:lineRule="auto"/>
              <w:jc w:val="center"/>
              <w:rPr>
                <w:rFonts w:ascii="Times New Roman" w:hAnsi="Times New Roman" w:cs="Times New Roman"/>
                <w:szCs w:val="21"/>
              </w:rPr>
            </w:pPr>
            <w:r>
              <w:rPr>
                <w:rFonts w:ascii="Times New Roman" w:hAnsi="Times New Roman" w:eastAsia="宋体" w:cs="Times New Roman"/>
                <w:kern w:val="0"/>
                <w:szCs w:val="21"/>
                <w:lang w:bidi="ar"/>
              </w:rPr>
              <w:t>1</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7EB37702">
            <w:pPr>
              <w:widowControl/>
              <w:spacing w:after="180" w:line="360" w:lineRule="auto"/>
              <w:jc w:val="center"/>
              <w:rPr>
                <w:rFonts w:ascii="Times New Roman" w:hAnsi="Times New Roman" w:cs="Times New Roman"/>
                <w:szCs w:val="21"/>
              </w:rPr>
            </w:pPr>
            <w:r>
              <w:rPr>
                <w:rFonts w:ascii="Times New Roman" w:hAnsi="Times New Roman" w:eastAsia="宋体" w:cs="Times New Roman"/>
                <w:kern w:val="0"/>
                <w:szCs w:val="21"/>
                <w:lang w:bidi="ar"/>
              </w:rPr>
              <w:t>Restricted in physically strenuous activity but ambulatory and able to carry out light or sedentary work, including general household or office work.</w:t>
            </w:r>
          </w:p>
        </w:tc>
      </w:tr>
      <w:tr w14:paraId="1310DB47">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177B88B9">
            <w:pPr>
              <w:widowControl/>
              <w:spacing w:after="180" w:line="360" w:lineRule="auto"/>
              <w:jc w:val="center"/>
              <w:rPr>
                <w:rFonts w:ascii="Times New Roman" w:hAnsi="Times New Roman" w:cs="Times New Roman"/>
                <w:szCs w:val="21"/>
              </w:rPr>
            </w:pPr>
            <w:r>
              <w:rPr>
                <w:rFonts w:ascii="Times New Roman" w:hAnsi="Times New Roman" w:eastAsia="宋体" w:cs="Times New Roman"/>
                <w:kern w:val="0"/>
                <w:szCs w:val="21"/>
                <w:lang w:bidi="ar"/>
              </w:rPr>
              <w:t>2</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0A6CB78B">
            <w:pPr>
              <w:widowControl/>
              <w:spacing w:after="180" w:line="360" w:lineRule="auto"/>
              <w:jc w:val="center"/>
              <w:rPr>
                <w:rFonts w:ascii="Times New Roman" w:hAnsi="Times New Roman" w:cs="Times New Roman"/>
                <w:szCs w:val="21"/>
              </w:rPr>
            </w:pPr>
            <w:r>
              <w:rPr>
                <w:rFonts w:ascii="Times New Roman" w:hAnsi="Times New Roman" w:eastAsia="宋体" w:cs="Times New Roman"/>
                <w:kern w:val="0"/>
                <w:szCs w:val="21"/>
                <w:lang w:bidi="ar"/>
              </w:rPr>
              <w:t>Ambulatory and capable of self-care but unable to work. Up and about more than 50% of waking hours.</w:t>
            </w:r>
          </w:p>
        </w:tc>
      </w:tr>
      <w:tr w14:paraId="2C42287E">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28AFAC10">
            <w:pPr>
              <w:widowControl/>
              <w:spacing w:after="180" w:line="360" w:lineRule="auto"/>
              <w:jc w:val="center"/>
              <w:rPr>
                <w:rFonts w:ascii="Times New Roman" w:hAnsi="Times New Roman" w:cs="Times New Roman"/>
                <w:szCs w:val="21"/>
              </w:rPr>
            </w:pPr>
            <w:r>
              <w:rPr>
                <w:rFonts w:ascii="Times New Roman" w:hAnsi="Times New Roman" w:eastAsia="宋体" w:cs="Times New Roman"/>
                <w:kern w:val="0"/>
                <w:szCs w:val="21"/>
                <w:lang w:bidi="ar"/>
              </w:rPr>
              <w:t>3</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5D42A9CB">
            <w:pPr>
              <w:widowControl/>
              <w:spacing w:after="180" w:line="360" w:lineRule="auto"/>
              <w:jc w:val="center"/>
              <w:rPr>
                <w:rFonts w:ascii="Times New Roman" w:hAnsi="Times New Roman" w:cs="Times New Roman"/>
                <w:szCs w:val="21"/>
              </w:rPr>
            </w:pPr>
            <w:r>
              <w:rPr>
                <w:rFonts w:ascii="Times New Roman" w:hAnsi="Times New Roman" w:eastAsia="宋体" w:cs="Times New Roman"/>
                <w:kern w:val="0"/>
                <w:szCs w:val="21"/>
                <w:lang w:bidi="ar"/>
              </w:rPr>
              <w:t>Capable of only limited self-care, confined to bed or chair more than 50% of waking hours.</w:t>
            </w:r>
          </w:p>
        </w:tc>
      </w:tr>
      <w:tr w14:paraId="7531B34B">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4229C003">
            <w:pPr>
              <w:widowControl/>
              <w:spacing w:after="180" w:line="360" w:lineRule="auto"/>
              <w:jc w:val="center"/>
              <w:rPr>
                <w:rFonts w:ascii="Times New Roman" w:hAnsi="Times New Roman" w:cs="Times New Roman"/>
                <w:szCs w:val="21"/>
              </w:rPr>
            </w:pPr>
            <w:r>
              <w:rPr>
                <w:rFonts w:ascii="Times New Roman" w:hAnsi="Times New Roman" w:eastAsia="宋体" w:cs="Times New Roman"/>
                <w:kern w:val="0"/>
                <w:szCs w:val="21"/>
                <w:lang w:bidi="ar"/>
              </w:rPr>
              <w:t>4</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00E9BE4D">
            <w:pPr>
              <w:widowControl/>
              <w:spacing w:after="180" w:line="360" w:lineRule="auto"/>
              <w:jc w:val="center"/>
              <w:rPr>
                <w:rFonts w:ascii="Times New Roman" w:hAnsi="Times New Roman" w:cs="Times New Roman"/>
                <w:szCs w:val="21"/>
              </w:rPr>
            </w:pPr>
            <w:r>
              <w:rPr>
                <w:rFonts w:ascii="Times New Roman" w:hAnsi="Times New Roman" w:eastAsia="宋体" w:cs="Times New Roman"/>
                <w:kern w:val="0"/>
                <w:szCs w:val="21"/>
                <w:lang w:bidi="ar"/>
              </w:rPr>
              <w:t>Completely disabled. Cannot carry on any self-care. Totally confined to bed or chair.</w:t>
            </w:r>
          </w:p>
        </w:tc>
      </w:tr>
      <w:tr w14:paraId="32DF83B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49A85F9C">
            <w:pPr>
              <w:widowControl/>
              <w:spacing w:after="180" w:line="360" w:lineRule="auto"/>
              <w:jc w:val="center"/>
              <w:rPr>
                <w:rFonts w:ascii="Times New Roman" w:hAnsi="Times New Roman" w:cs="Times New Roman"/>
                <w:szCs w:val="21"/>
              </w:rPr>
            </w:pPr>
            <w:r>
              <w:rPr>
                <w:rFonts w:ascii="Times New Roman" w:hAnsi="Times New Roman" w:eastAsia="宋体" w:cs="Times New Roman"/>
                <w:kern w:val="0"/>
                <w:szCs w:val="21"/>
                <w:lang w:bidi="ar"/>
              </w:rPr>
              <w:t>5</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7FACA71A">
            <w:pPr>
              <w:widowControl/>
              <w:spacing w:after="180" w:line="360" w:lineRule="auto"/>
              <w:jc w:val="center"/>
              <w:rPr>
                <w:rFonts w:ascii="Times New Roman" w:hAnsi="Times New Roman" w:cs="Times New Roman"/>
                <w:szCs w:val="21"/>
              </w:rPr>
            </w:pPr>
            <w:r>
              <w:rPr>
                <w:rFonts w:ascii="Times New Roman" w:hAnsi="Times New Roman" w:eastAsia="宋体" w:cs="Times New Roman"/>
                <w:kern w:val="0"/>
                <w:szCs w:val="21"/>
                <w:lang w:bidi="ar"/>
              </w:rPr>
              <w:t>Dead.</w:t>
            </w:r>
          </w:p>
        </w:tc>
      </w:tr>
    </w:tbl>
    <w:p w14:paraId="4BDFABC9">
      <w:pPr>
        <w:pStyle w:val="13"/>
        <w:widowControl/>
        <w:spacing w:beforeAutospacing="0" w:afterAutospacing="0" w:line="360" w:lineRule="auto"/>
        <w:ind w:firstLine="480" w:firstLineChars="200"/>
        <w:jc w:val="both"/>
        <w:rPr>
          <w:rFonts w:ascii="Times New Roman" w:hAnsi="Times New Roman" w:eastAsia="宋体"/>
        </w:rPr>
      </w:pPr>
      <w:r>
        <w:rPr>
          <w:rFonts w:ascii="Times New Roman" w:hAnsi="Times New Roman" w:eastAsia="宋体"/>
        </w:rPr>
        <w:t>Published by Robert Comis, MD, Chair of the Eastern Cooperative Oncology Group (Oken et al. 1982).</w:t>
      </w:r>
    </w:p>
    <w:p w14:paraId="528E10D4">
      <w:pPr>
        <w:spacing w:line="360" w:lineRule="auto"/>
        <w:ind w:firstLine="480" w:firstLineChars="200"/>
        <w:rPr>
          <w:rFonts w:ascii="Times New Roman" w:hAnsi="Times New Roman" w:eastAsia="宋体" w:cs="Times New Roman"/>
          <w:sz w:val="24"/>
        </w:rPr>
      </w:pPr>
      <w:bookmarkStart w:id="168" w:name="_Toc521701665"/>
      <w:r>
        <w:rPr>
          <w:rFonts w:ascii="Times New Roman" w:hAnsi="Times New Roman" w:eastAsia="宋体" w:cs="Times New Roman"/>
          <w:b/>
          <w:bCs/>
          <w:caps/>
          <w:kern w:val="32"/>
          <w:sz w:val="24"/>
          <w:szCs w:val="21"/>
        </w:rPr>
        <w:br w:type="page"/>
      </w:r>
      <w:bookmarkEnd w:id="168"/>
    </w:p>
    <w:p w14:paraId="0C889A2C">
      <w:pPr>
        <w:pStyle w:val="4"/>
        <w:spacing w:line="360" w:lineRule="auto"/>
        <w:ind w:firstLineChars="200"/>
        <w:rPr>
          <w:rFonts w:hint="default" w:ascii="Times New Roman" w:hAnsi="Times New Roman"/>
        </w:rPr>
      </w:pPr>
      <w:bookmarkStart w:id="169" w:name="_Toc175684697"/>
      <w:bookmarkStart w:id="170" w:name="附录3"/>
      <w:bookmarkStart w:id="171" w:name="_Toc503531375"/>
      <w:bookmarkStart w:id="172" w:name="_Toc501431180"/>
      <w:bookmarkStart w:id="173" w:name="_Toc27511"/>
      <w:bookmarkStart w:id="174" w:name="_Toc20144"/>
      <w:bookmarkStart w:id="175" w:name="_Toc82359013"/>
      <w:bookmarkStart w:id="176" w:name="_Toc503032819"/>
      <w:bookmarkStart w:id="177" w:name="_Toc82720925"/>
      <w:bookmarkStart w:id="178" w:name="_Toc19484"/>
      <w:bookmarkStart w:id="179" w:name="_Toc485899749"/>
      <w:r>
        <w:rPr>
          <w:rFonts w:hint="default" w:ascii="Times New Roman" w:hAnsi="Times New Roman"/>
        </w:rPr>
        <w:t>Appendix 2. Response Evaluation Criteria in Solid Tumors (RECIST) Guideline, Version 1.1</w:t>
      </w:r>
      <w:bookmarkEnd w:id="169"/>
    </w:p>
    <w:p w14:paraId="3F8B9365">
      <w:pPr>
        <w:pStyle w:val="13"/>
        <w:widowControl/>
        <w:spacing w:beforeAutospacing="0" w:afterAutospacing="0" w:line="360" w:lineRule="auto"/>
        <w:ind w:firstLine="480" w:firstLineChars="200"/>
        <w:jc w:val="both"/>
        <w:rPr>
          <w:rFonts w:ascii="Times New Roman" w:hAnsi="Times New Roman" w:eastAsia="宋体"/>
        </w:rPr>
      </w:pPr>
      <w:r>
        <w:rPr>
          <w:rFonts w:ascii="Times New Roman" w:hAnsi="Times New Roman" w:eastAsia="宋体"/>
        </w:rPr>
        <w:t>The following content is excerpted from the reference:</w:t>
      </w:r>
    </w:p>
    <w:p w14:paraId="2B24EC12">
      <w:pPr>
        <w:pStyle w:val="13"/>
        <w:widowControl/>
        <w:spacing w:beforeAutospacing="0" w:afterAutospacing="0" w:line="360" w:lineRule="auto"/>
        <w:ind w:firstLine="480" w:firstLineChars="200"/>
        <w:jc w:val="both"/>
        <w:rPr>
          <w:rFonts w:ascii="Times New Roman" w:hAnsi="Times New Roman" w:eastAsia="宋体"/>
        </w:rPr>
      </w:pPr>
      <w:r>
        <w:rPr>
          <w:rFonts w:ascii="Times New Roman" w:hAnsi="Times New Roman" w:eastAsia="宋体"/>
        </w:rPr>
        <w:t>Eisenhauer EA, Therasse P, Bogaerts J, Schwartz LH, Sargent D, Ford R, et al. New response evaluation criteria in solid tumours: revised RECIST guideline (Version 1.1). Eur J Cancer. 2009;45:</w:t>
      </w:r>
      <w:r>
        <w:rPr>
          <w:rFonts w:hint="eastAsia" w:ascii="Times New Roman" w:hAnsi="Times New Roman" w:eastAsia="宋体"/>
        </w:rPr>
        <w:t xml:space="preserve"> </w:t>
      </w:r>
      <w:r>
        <w:rPr>
          <w:rFonts w:ascii="Times New Roman" w:hAnsi="Times New Roman" w:eastAsia="宋体"/>
        </w:rPr>
        <w:t>228-247.</w:t>
      </w:r>
    </w:p>
    <w:p w14:paraId="662A9A71">
      <w:pPr>
        <w:keepNext w:val="0"/>
        <w:keepLines w:val="0"/>
        <w:pageBreakBefore w:val="0"/>
        <w:widowControl w:val="0"/>
        <w:numPr>
          <w:ilvl w:val="0"/>
          <w:numId w:val="10"/>
        </w:numPr>
        <w:kinsoku/>
        <w:wordWrap/>
        <w:overflowPunct/>
        <w:topLinePunct w:val="0"/>
        <w:autoSpaceDE/>
        <w:autoSpaceDN/>
        <w:bidi w:val="0"/>
        <w:adjustRightInd/>
        <w:snapToGrid/>
        <w:spacing w:line="600" w:lineRule="auto"/>
        <w:ind w:firstLine="561" w:firstLineChars="200"/>
        <w:textAlignment w:val="auto"/>
        <w:rPr>
          <w:rFonts w:hint="default" w:ascii="Times New Roman Bold" w:hAnsi="Times New Roman Bold" w:eastAsia="宋体" w:cs="Times New Roman Bold"/>
          <w:b/>
          <w:bCs/>
          <w:kern w:val="0"/>
          <w:sz w:val="28"/>
          <w:szCs w:val="28"/>
          <w:lang w:val="en-US" w:eastAsia="zh-CN" w:bidi="ar-SA"/>
        </w:rPr>
      </w:pPr>
      <w:bookmarkStart w:id="180" w:name="_Toc2090171501"/>
      <w:bookmarkStart w:id="181" w:name="_Toc1773633147"/>
      <w:r>
        <w:rPr>
          <w:rFonts w:hint="default" w:ascii="Times New Roman Bold" w:hAnsi="Times New Roman Bold" w:eastAsia="宋体" w:cs="Times New Roman Bold"/>
          <w:b/>
          <w:bCs/>
          <w:kern w:val="0"/>
          <w:sz w:val="28"/>
          <w:szCs w:val="28"/>
          <w:lang w:val="en-US" w:eastAsia="zh-CN" w:bidi="ar-SA"/>
        </w:rPr>
        <w:t>Definitions</w:t>
      </w:r>
      <w:bookmarkEnd w:id="180"/>
      <w:bookmarkEnd w:id="181"/>
    </w:p>
    <w:p w14:paraId="263D5E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ascii="Times New Roman" w:hAnsi="Times New Roman" w:eastAsia="宋体" w:cs="Times New Roman"/>
          <w:kern w:val="0"/>
          <w:sz w:val="24"/>
          <w:szCs w:val="24"/>
          <w:lang w:val="en-US" w:eastAsia="zh-CN" w:bidi="ar-SA"/>
        </w:rPr>
        <w:t>The interna</w:t>
      </w:r>
      <w:r>
        <w:rPr>
          <w:rFonts w:hint="default" w:ascii="Times New Roman" w:hAnsi="Times New Roman" w:eastAsia="宋体" w:cs="Times New Roman"/>
          <w:kern w:val="0"/>
          <w:sz w:val="24"/>
          <w:szCs w:val="24"/>
          <w:lang w:val="en-US" w:eastAsia="zh-CN" w:bidi="ar-SA"/>
        </w:rPr>
        <w:t>tional sta</w:t>
      </w:r>
      <w:r>
        <w:rPr>
          <w:rFonts w:ascii="Times New Roman" w:hAnsi="Times New Roman" w:eastAsia="宋体" w:cs="Times New Roman"/>
          <w:kern w:val="0"/>
          <w:sz w:val="24"/>
          <w:szCs w:val="24"/>
          <w:lang w:val="en-US" w:eastAsia="zh-CN" w:bidi="ar-SA"/>
        </w:rPr>
        <w:t xml:space="preserve">ndards </w:t>
      </w:r>
      <w:r>
        <w:rPr>
          <w:rFonts w:ascii="Times New Roman" w:hAnsi="Times New Roman" w:eastAsia="宋体"/>
          <w:sz w:val="24"/>
          <w:szCs w:val="24"/>
        </w:rPr>
        <w:t>proposed by the Response Evaluation Criteria in Solid Tumors (RECIST) Committee (Version 1.1) will be used to evaluate response and pr</w:t>
      </w:r>
      <w:r>
        <w:rPr>
          <w:rFonts w:hint="default" w:ascii="Times New Roman Regular" w:hAnsi="Times New Roman Regular" w:cs="Times New Roman Regular"/>
          <w:sz w:val="24"/>
          <w:szCs w:val="24"/>
        </w:rPr>
        <w:t>ogression in this trial. The RECIST criteria use only the change in the longest diameter of tumor lesions (one-dimensional measurement) for assessment.</w:t>
      </w:r>
    </w:p>
    <w:p w14:paraId="35B7DD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Note: The following criteria will be used to determine whether lesions are measurable. The term "evaluable" derived from measurability will not be used as it does not provide additional meaning or accuracy.</w:t>
      </w:r>
    </w:p>
    <w:p w14:paraId="30458E40">
      <w:pPr>
        <w:keepNext w:val="0"/>
        <w:keepLines w:val="0"/>
        <w:pageBreakBefore w:val="0"/>
        <w:widowControl w:val="0"/>
        <w:kinsoku/>
        <w:wordWrap/>
        <w:overflowPunct/>
        <w:topLinePunct w:val="0"/>
        <w:autoSpaceDE/>
        <w:autoSpaceDN/>
        <w:bidi w:val="0"/>
        <w:adjustRightInd/>
        <w:snapToGrid/>
        <w:spacing w:line="600" w:lineRule="auto"/>
        <w:ind w:firstLine="561" w:firstLineChars="200"/>
        <w:textAlignment w:val="auto"/>
        <w:rPr>
          <w:rFonts w:hint="default" w:ascii="Times New Roman Bold" w:hAnsi="Times New Roman Bold" w:eastAsia="宋体" w:cs="Times New Roman Bold"/>
          <w:b/>
          <w:bCs/>
          <w:kern w:val="0"/>
          <w:sz w:val="28"/>
          <w:szCs w:val="28"/>
          <w:lang w:val="en-US" w:eastAsia="zh-CN" w:bidi="ar-SA"/>
        </w:rPr>
      </w:pPr>
      <w:bookmarkStart w:id="182" w:name="_Toc974919681"/>
      <w:r>
        <w:rPr>
          <w:rFonts w:hint="default" w:ascii="Times New Roman Bold" w:hAnsi="Times New Roman Bold" w:eastAsia="宋体" w:cs="Times New Roman Bold"/>
          <w:b/>
          <w:bCs/>
          <w:kern w:val="0"/>
          <w:sz w:val="28"/>
          <w:szCs w:val="28"/>
          <w:lang w:val="en-US" w:eastAsia="zh-CN" w:bidi="ar-SA"/>
        </w:rPr>
        <w:t>Measurable Lesions</w:t>
      </w:r>
      <w:bookmarkEnd w:id="182"/>
    </w:p>
    <w:p w14:paraId="5885E5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Tumor lesions: Must have at least one accurately measurable dimension (recorded as the maximum diameter of the measured plane), with the following minimum lengths:</w:t>
      </w:r>
    </w:p>
    <w:p w14:paraId="41427B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CT scan and MRI scan: 10 mm (not less than twice the slice thickness, at least 10 mm)</w:t>
      </w:r>
    </w:p>
    <w:p w14:paraId="2EB859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Clinical examination with calipers: 10 mm (for lesions located on the body surface)</w:t>
      </w:r>
    </w:p>
    <w:p w14:paraId="24667A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Chest X-ray: 20 mm (if the boundaries are clear and surrounded by aerated lung)</w:t>
      </w:r>
    </w:p>
    <w:p w14:paraId="586113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Malignant lymph nodes: When assessed by CT scan (recommended slice thickness ≤ 5 mm), the short axis of the lymph node must be ≥ 15 mm to be considered pathologically enlarged and measurable. Only the short axis will be measured and tracked at baseline and follow-up.</w:t>
      </w:r>
    </w:p>
    <w:p w14:paraId="1CBBB9E7">
      <w:pPr>
        <w:keepNext w:val="0"/>
        <w:keepLines w:val="0"/>
        <w:pageBreakBefore w:val="0"/>
        <w:widowControl w:val="0"/>
        <w:kinsoku/>
        <w:wordWrap/>
        <w:overflowPunct/>
        <w:topLinePunct w:val="0"/>
        <w:autoSpaceDE/>
        <w:autoSpaceDN/>
        <w:bidi w:val="0"/>
        <w:adjustRightInd/>
        <w:snapToGrid/>
        <w:spacing w:line="600" w:lineRule="auto"/>
        <w:ind w:firstLine="561" w:firstLineChars="200"/>
        <w:textAlignment w:val="auto"/>
        <w:rPr>
          <w:rFonts w:hint="default" w:ascii="Times New Roman Bold" w:hAnsi="Times New Roman Bold" w:eastAsia="宋体" w:cs="Times New Roman Bold"/>
          <w:b/>
          <w:bCs/>
          <w:kern w:val="0"/>
          <w:sz w:val="28"/>
          <w:szCs w:val="28"/>
          <w:lang w:val="en-US" w:eastAsia="zh-CN" w:bidi="ar-SA"/>
        </w:rPr>
      </w:pPr>
      <w:bookmarkStart w:id="183" w:name="_Toc174851957"/>
      <w:r>
        <w:rPr>
          <w:rFonts w:hint="default" w:ascii="Times New Roman Bold" w:hAnsi="Times New Roman Bold" w:eastAsia="宋体" w:cs="Times New Roman Bold"/>
          <w:b/>
          <w:bCs/>
          <w:kern w:val="0"/>
          <w:sz w:val="28"/>
          <w:szCs w:val="28"/>
          <w:lang w:val="en-US" w:eastAsia="zh-CN" w:bidi="ar-SA"/>
        </w:rPr>
        <w:t>Non-Measurable Lesions</w:t>
      </w:r>
      <w:bookmarkEnd w:id="183"/>
    </w:p>
    <w:p w14:paraId="61FA4F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All other lesions (or disease sites), including small lesions (maximum diameter by conventional measurement techniques ≥ 10 mm but &lt; 15 mm or &lt; 10 mm by spiral CT scan), are considered non-measurable. Non-measurable lesions include: leptomeningeal disease, ascites, pleural/pericardial effusion, inflammatory breast disease, skin or pulmonary lymphangitic involvement, and abdominal masses/organomegaly identified by physical examination that cannot be measured reproducibly by imaging techniques.</w:t>
      </w:r>
    </w:p>
    <w:p w14:paraId="5F69AD82">
      <w:pPr>
        <w:keepNext w:val="0"/>
        <w:keepLines w:val="0"/>
        <w:pageBreakBefore w:val="0"/>
        <w:widowControl w:val="0"/>
        <w:kinsoku/>
        <w:wordWrap/>
        <w:overflowPunct/>
        <w:topLinePunct w:val="0"/>
        <w:autoSpaceDE/>
        <w:autoSpaceDN/>
        <w:bidi w:val="0"/>
        <w:adjustRightInd/>
        <w:snapToGrid/>
        <w:spacing w:line="600" w:lineRule="auto"/>
        <w:ind w:firstLine="561" w:firstLineChars="200"/>
        <w:textAlignment w:val="auto"/>
        <w:rPr>
          <w:rFonts w:hint="default" w:ascii="Times New Roman Bold" w:hAnsi="Times New Roman Bold" w:eastAsia="宋体" w:cs="Times New Roman Bold"/>
          <w:b/>
          <w:bCs/>
          <w:kern w:val="0"/>
          <w:sz w:val="28"/>
          <w:szCs w:val="28"/>
          <w:lang w:val="en-US" w:eastAsia="zh-CN" w:bidi="ar-SA"/>
        </w:rPr>
      </w:pPr>
      <w:bookmarkStart w:id="184" w:name="_Toc979212203"/>
      <w:r>
        <w:rPr>
          <w:rFonts w:hint="default" w:ascii="Times New Roman Bold" w:hAnsi="Times New Roman Bold" w:eastAsia="宋体" w:cs="Times New Roman Bold"/>
          <w:b/>
          <w:bCs/>
          <w:kern w:val="0"/>
          <w:sz w:val="28"/>
          <w:szCs w:val="28"/>
          <w:lang w:val="en-US" w:eastAsia="zh-CN" w:bidi="ar-SA"/>
        </w:rPr>
        <w:t>Bone Lesions</w:t>
      </w:r>
      <w:bookmarkEnd w:id="184"/>
    </w:p>
    <w:p w14:paraId="0444F2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Bone scans, PET scans, or plain films are not suitable for measuring bone lesions, but these techniques can be used to confirm the presence or disappearance of bone lesions.</w:t>
      </w:r>
    </w:p>
    <w:p w14:paraId="33FD66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If osteolytic or mixed osteolytic-osteoblastic lesions have identifiable soft tissue components that meet the above measurability criteria, they can be considered measurable when evaluated by cross-sectional imaging techniques such as CT or MRI.</w:t>
      </w:r>
    </w:p>
    <w:p w14:paraId="1357E9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Osteoblastic bone lesions are non-measurable.</w:t>
      </w:r>
    </w:p>
    <w:p w14:paraId="40277FAF">
      <w:pPr>
        <w:keepNext w:val="0"/>
        <w:keepLines w:val="0"/>
        <w:pageBreakBefore w:val="0"/>
        <w:widowControl w:val="0"/>
        <w:kinsoku/>
        <w:wordWrap/>
        <w:overflowPunct/>
        <w:topLinePunct w:val="0"/>
        <w:autoSpaceDE/>
        <w:autoSpaceDN/>
        <w:bidi w:val="0"/>
        <w:adjustRightInd/>
        <w:snapToGrid/>
        <w:spacing w:line="600" w:lineRule="auto"/>
        <w:ind w:firstLine="561" w:firstLineChars="200"/>
        <w:textAlignment w:val="auto"/>
        <w:rPr>
          <w:rFonts w:hint="default" w:ascii="Times New Roman Bold" w:hAnsi="Times New Roman Bold" w:eastAsia="宋体" w:cs="Times New Roman Bold"/>
          <w:b/>
          <w:bCs/>
          <w:kern w:val="0"/>
          <w:sz w:val="28"/>
          <w:szCs w:val="28"/>
          <w:lang w:val="en-US" w:eastAsia="zh-CN" w:bidi="ar-SA"/>
        </w:rPr>
      </w:pPr>
      <w:bookmarkStart w:id="185" w:name="_Toc1452308860"/>
      <w:r>
        <w:rPr>
          <w:rFonts w:hint="default" w:ascii="Times New Roman Bold" w:hAnsi="Times New Roman Bold" w:eastAsia="宋体" w:cs="Times New Roman Bold"/>
          <w:b/>
          <w:bCs/>
          <w:kern w:val="0"/>
          <w:sz w:val="28"/>
          <w:szCs w:val="28"/>
          <w:lang w:val="en-US" w:eastAsia="zh-CN" w:bidi="ar-SA"/>
        </w:rPr>
        <w:t>Cystic Lesions</w:t>
      </w:r>
      <w:bookmarkEnd w:id="185"/>
    </w:p>
    <w:p w14:paraId="1DC48D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Lesions that meet the radiologic criteria for simple cysts should not be considered malignant (neither measurable nor non-measurable).</w:t>
      </w:r>
    </w:p>
    <w:p w14:paraId="5E39E2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Cystic lesions considered to be "cystic metastases" can be regarded as measurable if they meet the above criteria. However, if non-cystic lesions are present in the same patient, non-cystic lesions should be preferentially selected as target lesions.</w:t>
      </w:r>
    </w:p>
    <w:p w14:paraId="145030FA">
      <w:pPr>
        <w:keepNext w:val="0"/>
        <w:keepLines w:val="0"/>
        <w:pageBreakBefore w:val="0"/>
        <w:widowControl w:val="0"/>
        <w:kinsoku/>
        <w:wordWrap/>
        <w:overflowPunct/>
        <w:topLinePunct w:val="0"/>
        <w:autoSpaceDE/>
        <w:autoSpaceDN/>
        <w:bidi w:val="0"/>
        <w:adjustRightInd/>
        <w:snapToGrid/>
        <w:spacing w:line="600" w:lineRule="auto"/>
        <w:ind w:firstLine="561" w:firstLineChars="200"/>
        <w:textAlignment w:val="auto"/>
        <w:rPr>
          <w:rFonts w:hint="default" w:ascii="Times New Roman Bold" w:hAnsi="Times New Roman Bold" w:eastAsia="宋体" w:cs="Times New Roman Bold"/>
          <w:b/>
          <w:bCs/>
          <w:kern w:val="0"/>
          <w:sz w:val="28"/>
          <w:szCs w:val="28"/>
          <w:lang w:val="en-US" w:eastAsia="zh-CN" w:bidi="ar-SA"/>
        </w:rPr>
      </w:pPr>
      <w:bookmarkStart w:id="186" w:name="_Toc655878218"/>
      <w:r>
        <w:rPr>
          <w:rFonts w:hint="default" w:ascii="Times New Roman Bold" w:hAnsi="Times New Roman Bold" w:eastAsia="宋体" w:cs="Times New Roman Bold"/>
          <w:b/>
          <w:bCs/>
          <w:kern w:val="0"/>
          <w:sz w:val="28"/>
          <w:szCs w:val="28"/>
          <w:lang w:val="en-US" w:eastAsia="zh-CN" w:bidi="ar-SA"/>
        </w:rPr>
        <w:t>Lesions Previously Treated with Local Therapy</w:t>
      </w:r>
      <w:bookmarkEnd w:id="186"/>
    </w:p>
    <w:p w14:paraId="71DE62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Lesions located in areas previously treated with radiation or other local-regional therapies are generally not considered measurable unless there is clear progression. Given that this study includes NSCLC patients who have previously received concurrent chemoradiotherapy, post-radiation lesions that meet the criteria for measurable lesions as judged by the investigator should be selected as target lesions whenever possible.</w:t>
      </w:r>
    </w:p>
    <w:p w14:paraId="753B1F2C">
      <w:pPr>
        <w:keepNext w:val="0"/>
        <w:keepLines w:val="0"/>
        <w:pageBreakBefore w:val="0"/>
        <w:widowControl w:val="0"/>
        <w:kinsoku/>
        <w:wordWrap/>
        <w:overflowPunct/>
        <w:topLinePunct w:val="0"/>
        <w:autoSpaceDE/>
        <w:autoSpaceDN/>
        <w:bidi w:val="0"/>
        <w:adjustRightInd/>
        <w:snapToGrid/>
        <w:spacing w:line="600" w:lineRule="auto"/>
        <w:ind w:firstLine="561" w:firstLineChars="200"/>
        <w:textAlignment w:val="auto"/>
        <w:rPr>
          <w:rFonts w:hint="default" w:ascii="Times New Roman Bold" w:hAnsi="Times New Roman Bold" w:eastAsia="宋体" w:cs="Times New Roman Bold"/>
          <w:b/>
          <w:bCs/>
          <w:kern w:val="0"/>
          <w:sz w:val="28"/>
          <w:szCs w:val="28"/>
          <w:lang w:val="en-US" w:eastAsia="zh-CN" w:bidi="ar-SA"/>
        </w:rPr>
      </w:pPr>
      <w:bookmarkStart w:id="187" w:name="_Toc311649875"/>
      <w:r>
        <w:rPr>
          <w:rFonts w:hint="default" w:ascii="Times New Roman Bold" w:hAnsi="Times New Roman Bold" w:eastAsia="宋体" w:cs="Times New Roman Bold"/>
          <w:b/>
          <w:bCs/>
          <w:kern w:val="0"/>
          <w:sz w:val="28"/>
          <w:szCs w:val="28"/>
          <w:lang w:val="en-US" w:eastAsia="zh-CN" w:bidi="ar-SA"/>
        </w:rPr>
        <w:t>Target Lesions</w:t>
      </w:r>
      <w:bookmarkEnd w:id="187"/>
    </w:p>
    <w:p w14:paraId="78BF8E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All measurable lesions (up to 2 per organ, with a maximum of 5 lesions in total) should be identified as target lesions at baseline, recorded, and measured. Target lesions should be selected based on their size (lesions with the longest diameter) and their ability to represent all involved organs, as well as their reproducibility in repeated measurements.</w:t>
      </w:r>
    </w:p>
    <w:p w14:paraId="28E25B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Lymph nodes require special mention because they are normal anatomical structures that may be visible on imaging even if not tumor-related. Pathological nodes (defined as measurable and identifiable as target lesions) must meet the criterion of a short axis ≥ 15 mm on CT scan. Only the short axis data of these nodes are included in the baseline sum. The short axis is the diameter commonly used by radiologists to determine whether a node is tumor-related. Node size is typically reported in two dimensions on imaging scans (axial plane for CT, axial, sagittal, or coronal planes for MRI). The smaller of these measurements is the short axis. For example, an abdominal node reported as 20 mm × 30 mm has a short axis of 20 mm, meeting the criterion for a malignant, measurable node. In this case, the measurement should be recorded as 20 mm. All other pathological nodes (short axis ≥ 10 mm but &lt; 15 mm) should be considered non-target lesions. Nodes with a short axis &lt; 10 mm are considered non-pathological and should not be recorded or tracked.</w:t>
      </w:r>
    </w:p>
    <w:p w14:paraId="10CF46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sum of the diameters of all target lesions (longest diameter for non-nodal lesions, short axis for nodal lesions) will be calculated and reported as the baseline sum of diameters. If lymph nodes are included in the sum, only the short axis data are included, as described above. The baseline sum of diameters will serve as the reference for determining objective tumor response in measurable dimensions.</w:t>
      </w:r>
    </w:p>
    <w:p w14:paraId="2019A889">
      <w:pPr>
        <w:keepNext w:val="0"/>
        <w:keepLines w:val="0"/>
        <w:pageBreakBefore w:val="0"/>
        <w:widowControl w:val="0"/>
        <w:kinsoku/>
        <w:wordWrap/>
        <w:overflowPunct/>
        <w:topLinePunct w:val="0"/>
        <w:autoSpaceDE/>
        <w:autoSpaceDN/>
        <w:bidi w:val="0"/>
        <w:adjustRightInd/>
        <w:snapToGrid/>
        <w:spacing w:line="600" w:lineRule="auto"/>
        <w:ind w:firstLine="561" w:firstLineChars="200"/>
        <w:textAlignment w:val="auto"/>
        <w:rPr>
          <w:rFonts w:hint="default" w:ascii="Times New Roman Bold" w:hAnsi="Times New Roman Bold" w:eastAsia="宋体" w:cs="Times New Roman Bold"/>
          <w:b/>
          <w:bCs/>
          <w:kern w:val="0"/>
          <w:sz w:val="28"/>
          <w:szCs w:val="28"/>
          <w:lang w:val="en-US" w:eastAsia="zh-CN" w:bidi="ar-SA"/>
        </w:rPr>
      </w:pPr>
      <w:bookmarkStart w:id="188" w:name="_Toc186834092"/>
      <w:r>
        <w:rPr>
          <w:rFonts w:hint="default" w:ascii="Times New Roman Bold" w:hAnsi="Times New Roman Bold" w:eastAsia="宋体" w:cs="Times New Roman Bold"/>
          <w:b/>
          <w:bCs/>
          <w:kern w:val="0"/>
          <w:sz w:val="28"/>
          <w:szCs w:val="28"/>
          <w:lang w:val="en-US" w:eastAsia="zh-CN" w:bidi="ar-SA"/>
        </w:rPr>
        <w:t>Non-Target Lesions</w:t>
      </w:r>
      <w:bookmarkEnd w:id="188"/>
    </w:p>
    <w:p w14:paraId="4EFB62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All other lesions (or disease sites), including pathological lymph nodes, should be considered non-target lesions and do not require measurement but should be recorded at baseline. These lesions should be tracked as "present," "absent," or, in rare cases, "unequivocal progression" (with additional details). Additionally, in the case report form, multiple non-target lesions in the same organ can be recorded as, for example, "multiple enlarged pelvic lymph nodes" or "multiple liver metastases."</w:t>
      </w:r>
    </w:p>
    <w:p w14:paraId="6EABBA0D">
      <w:pPr>
        <w:keepNext w:val="0"/>
        <w:keepLines w:val="0"/>
        <w:pageBreakBefore w:val="0"/>
        <w:widowControl w:val="0"/>
        <w:kinsoku/>
        <w:wordWrap/>
        <w:overflowPunct/>
        <w:topLinePunct w:val="0"/>
        <w:autoSpaceDE/>
        <w:autoSpaceDN/>
        <w:bidi w:val="0"/>
        <w:adjustRightInd/>
        <w:snapToGrid/>
        <w:spacing w:line="600" w:lineRule="auto"/>
        <w:ind w:firstLine="561" w:firstLineChars="200"/>
        <w:textAlignment w:val="auto"/>
        <w:rPr>
          <w:rFonts w:hint="default" w:ascii="Times New Roman Bold" w:hAnsi="Times New Roman Bold" w:eastAsia="宋体" w:cs="Times New Roman Bold"/>
          <w:b/>
          <w:bCs/>
          <w:kern w:val="0"/>
          <w:sz w:val="28"/>
          <w:szCs w:val="28"/>
          <w:lang w:val="en-US" w:eastAsia="zh-CN" w:bidi="ar-SA"/>
        </w:rPr>
      </w:pPr>
      <w:bookmarkStart w:id="189" w:name="_Toc231797622"/>
      <w:bookmarkStart w:id="190" w:name="_Toc499492330"/>
      <w:r>
        <w:rPr>
          <w:rFonts w:hint="default" w:ascii="Times New Roman Bold" w:hAnsi="Times New Roman Bold" w:eastAsia="宋体" w:cs="Times New Roman Bold"/>
          <w:b/>
          <w:bCs/>
          <w:kern w:val="0"/>
          <w:sz w:val="28"/>
          <w:szCs w:val="28"/>
          <w:lang w:val="en-US" w:eastAsia="zh-CN" w:bidi="ar-SA"/>
        </w:rPr>
        <w:t>2. Guidelines for Evaluation of Measurable Disease</w:t>
      </w:r>
      <w:bookmarkEnd w:id="189"/>
      <w:bookmarkEnd w:id="190"/>
    </w:p>
    <w:p w14:paraId="70391F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All measurements should be recorded in metric units. If clinical evaluations are performed, calipers should be used. All baseline assessments should be performed as close as possible to the start of treatment, no more than 4 weeks before treatment begins.</w:t>
      </w:r>
    </w:p>
    <w:p w14:paraId="1AEBD8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At baseline and during follow-up, the same method and technique should be used to measure each identified and reported lesion. Evaluations should always be based on imaging rather than clinical examination unless the lesion being tracked is undetectable by imaging but palpable on clinical examination.</w:t>
      </w:r>
    </w:p>
    <w:p w14:paraId="18F18C8E">
      <w:pPr>
        <w:keepNext w:val="0"/>
        <w:keepLines w:val="0"/>
        <w:pageBreakBefore w:val="0"/>
        <w:widowControl w:val="0"/>
        <w:kinsoku/>
        <w:wordWrap/>
        <w:overflowPunct/>
        <w:topLinePunct w:val="0"/>
        <w:autoSpaceDE/>
        <w:autoSpaceDN/>
        <w:bidi w:val="0"/>
        <w:adjustRightInd/>
        <w:snapToGrid/>
        <w:spacing w:line="600" w:lineRule="auto"/>
        <w:ind w:firstLine="561" w:firstLineChars="200"/>
        <w:textAlignment w:val="auto"/>
        <w:rPr>
          <w:rFonts w:hint="default" w:ascii="Times New Roman Bold" w:hAnsi="Times New Roman Bold" w:eastAsia="宋体" w:cs="Times New Roman Bold"/>
          <w:b/>
          <w:bCs/>
          <w:kern w:val="0"/>
          <w:sz w:val="28"/>
          <w:szCs w:val="28"/>
          <w:lang w:val="en-US" w:eastAsia="zh-CN" w:bidi="ar-SA"/>
        </w:rPr>
      </w:pPr>
      <w:bookmarkStart w:id="191" w:name="_Toc454014187"/>
      <w:r>
        <w:rPr>
          <w:rFonts w:hint="default" w:ascii="Times New Roman Bold" w:hAnsi="Times New Roman Bold" w:eastAsia="宋体" w:cs="Times New Roman Bold"/>
          <w:b/>
          <w:bCs/>
          <w:kern w:val="0"/>
          <w:sz w:val="28"/>
          <w:szCs w:val="28"/>
          <w:lang w:val="en-US" w:eastAsia="zh-CN" w:bidi="ar-SA"/>
        </w:rPr>
        <w:t>Clinical Lesions</w:t>
      </w:r>
      <w:bookmarkEnd w:id="191"/>
    </w:p>
    <w:p w14:paraId="08B9CF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Clinical lesions are considered measurable only if they are superficial and have a diameter &gt; 10 mm when measured with calipers (e.g., skin nodules). For skin lesions, color photography with a ruler to estimate lesion size is recommended. When lesions are evaluated by both imaging and clinical examination, imaging should be prioritized whenever possible due to its objectivity and reproducibility for review at the end of the study.</w:t>
      </w:r>
    </w:p>
    <w:p w14:paraId="431FD14C">
      <w:pPr>
        <w:keepNext w:val="0"/>
        <w:keepLines w:val="0"/>
        <w:pageBreakBefore w:val="0"/>
        <w:widowControl w:val="0"/>
        <w:kinsoku/>
        <w:wordWrap/>
        <w:overflowPunct/>
        <w:topLinePunct w:val="0"/>
        <w:autoSpaceDE/>
        <w:autoSpaceDN/>
        <w:bidi w:val="0"/>
        <w:adjustRightInd/>
        <w:snapToGrid/>
        <w:spacing w:line="600" w:lineRule="auto"/>
        <w:ind w:firstLine="561" w:firstLineChars="200"/>
        <w:textAlignment w:val="auto"/>
        <w:rPr>
          <w:rFonts w:hint="default" w:ascii="Times New Roman Bold" w:hAnsi="Times New Roman Bold" w:eastAsia="宋体" w:cs="Times New Roman Bold"/>
          <w:b/>
          <w:bCs/>
          <w:kern w:val="0"/>
          <w:sz w:val="28"/>
          <w:szCs w:val="28"/>
          <w:lang w:val="en-US" w:eastAsia="zh-CN" w:bidi="ar-SA"/>
        </w:rPr>
      </w:pPr>
      <w:bookmarkStart w:id="192" w:name="_Toc607043118"/>
      <w:r>
        <w:rPr>
          <w:rFonts w:hint="default" w:ascii="Times New Roman Bold" w:hAnsi="Times New Roman Bold" w:eastAsia="宋体" w:cs="Times New Roman Bold"/>
          <w:b/>
          <w:bCs/>
          <w:kern w:val="0"/>
          <w:sz w:val="28"/>
          <w:szCs w:val="28"/>
          <w:lang w:val="en-US" w:eastAsia="zh-CN" w:bidi="ar-SA"/>
        </w:rPr>
        <w:t>Chest X-ray</w:t>
      </w:r>
      <w:bookmarkEnd w:id="192"/>
    </w:p>
    <w:p w14:paraId="5C0B5E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When tumor progression is a key study endpoint, chest CT should be prioritized because it is more sensitive than X-ray, especially for new lesions. Chest X-rays are suitable only when the measured lesions have clear boundaries and are surrounded by well-aerated lung tissue.</w:t>
      </w:r>
    </w:p>
    <w:p w14:paraId="16CFA100">
      <w:pPr>
        <w:keepNext w:val="0"/>
        <w:keepLines w:val="0"/>
        <w:pageBreakBefore w:val="0"/>
        <w:widowControl w:val="0"/>
        <w:kinsoku/>
        <w:wordWrap/>
        <w:overflowPunct/>
        <w:topLinePunct w:val="0"/>
        <w:autoSpaceDE/>
        <w:autoSpaceDN/>
        <w:bidi w:val="0"/>
        <w:adjustRightInd/>
        <w:snapToGrid/>
        <w:spacing w:line="600" w:lineRule="auto"/>
        <w:ind w:firstLine="561" w:firstLineChars="200"/>
        <w:textAlignment w:val="auto"/>
        <w:rPr>
          <w:rFonts w:hint="default" w:ascii="Times New Roman Bold" w:hAnsi="Times New Roman Bold" w:eastAsia="宋体" w:cs="Times New Roman Bold"/>
          <w:b/>
          <w:bCs/>
          <w:kern w:val="0"/>
          <w:sz w:val="28"/>
          <w:szCs w:val="28"/>
          <w:lang w:val="en-US" w:eastAsia="zh-CN" w:bidi="ar-SA"/>
        </w:rPr>
      </w:pPr>
      <w:bookmarkStart w:id="193" w:name="_Toc2026360976"/>
      <w:r>
        <w:rPr>
          <w:rFonts w:hint="default" w:ascii="Times New Roman Bold" w:hAnsi="Times New Roman Bold" w:eastAsia="宋体" w:cs="Times New Roman Bold"/>
          <w:b/>
          <w:bCs/>
          <w:kern w:val="0"/>
          <w:sz w:val="28"/>
          <w:szCs w:val="28"/>
          <w:lang w:val="en-US" w:eastAsia="zh-CN" w:bidi="ar-SA"/>
        </w:rPr>
        <w:t>CT and MRI</w:t>
      </w:r>
      <w:bookmarkEnd w:id="193"/>
    </w:p>
    <w:p w14:paraId="3B039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CT is currently the most reproducible method for response evaluation. The measurability criteria in these guidelines are based on CT slice thickness ≤ 5 mm. If the CT slice thickness exceeds 5 mm, the minimum size for a measurable lesion should be twice the slice thickness. MRI may also be acceptable in some cases (e.g., whole-body scans).</w:t>
      </w:r>
    </w:p>
    <w:p w14:paraId="7C9D1898">
      <w:pPr>
        <w:keepNext w:val="0"/>
        <w:keepLines w:val="0"/>
        <w:pageBreakBefore w:val="0"/>
        <w:widowControl w:val="0"/>
        <w:kinsoku/>
        <w:wordWrap/>
        <w:overflowPunct/>
        <w:topLinePunct w:val="0"/>
        <w:autoSpaceDE/>
        <w:autoSpaceDN/>
        <w:bidi w:val="0"/>
        <w:adjustRightInd/>
        <w:snapToGrid/>
        <w:spacing w:line="600" w:lineRule="auto"/>
        <w:ind w:firstLine="561" w:firstLineChars="200"/>
        <w:textAlignment w:val="auto"/>
        <w:rPr>
          <w:rFonts w:hint="default" w:ascii="Times New Roman Bold" w:hAnsi="Times New Roman Bold" w:eastAsia="宋体" w:cs="Times New Roman Bold"/>
          <w:b/>
          <w:bCs/>
          <w:kern w:val="0"/>
          <w:sz w:val="28"/>
          <w:szCs w:val="28"/>
          <w:lang w:val="en-US" w:eastAsia="zh-CN" w:bidi="ar-SA"/>
        </w:rPr>
      </w:pPr>
      <w:bookmarkStart w:id="194" w:name="_Toc105765859"/>
      <w:r>
        <w:rPr>
          <w:rFonts w:hint="default" w:ascii="Times New Roman Bold" w:hAnsi="Times New Roman Bold" w:eastAsia="宋体" w:cs="Times New Roman Bold"/>
          <w:b/>
          <w:bCs/>
          <w:kern w:val="0"/>
          <w:sz w:val="28"/>
          <w:szCs w:val="28"/>
          <w:lang w:val="en-US" w:eastAsia="zh-CN" w:bidi="ar-SA"/>
        </w:rPr>
        <w:t>Ultrasound</w:t>
      </w:r>
      <w:bookmarkEnd w:id="194"/>
    </w:p>
    <w:p w14:paraId="06807B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Ultrasound should not be used as a measurement method for lesion size. Due to its operator-dependent nature, ultrasound lacks reproducibility after the measurement is completed and cannot ensure consistency between measurements. If new lesions are detected by ultrasound during the trial, they should be confirmed by CT or MRI. If CT radiation exposure is a concern, MRI can be used as an alternative.</w:t>
      </w:r>
    </w:p>
    <w:p w14:paraId="3E64A2DA">
      <w:pPr>
        <w:keepNext w:val="0"/>
        <w:keepLines w:val="0"/>
        <w:pageBreakBefore w:val="0"/>
        <w:widowControl w:val="0"/>
        <w:kinsoku/>
        <w:wordWrap/>
        <w:overflowPunct/>
        <w:topLinePunct w:val="0"/>
        <w:autoSpaceDE/>
        <w:autoSpaceDN/>
        <w:bidi w:val="0"/>
        <w:adjustRightInd/>
        <w:snapToGrid/>
        <w:spacing w:line="600" w:lineRule="auto"/>
        <w:ind w:firstLine="561" w:firstLineChars="200"/>
        <w:textAlignment w:val="auto"/>
        <w:rPr>
          <w:rFonts w:hint="default" w:ascii="Times New Roman Bold" w:hAnsi="Times New Roman Bold" w:eastAsia="宋体" w:cs="Times New Roman Bold"/>
          <w:b/>
          <w:bCs/>
          <w:kern w:val="0"/>
          <w:sz w:val="28"/>
          <w:szCs w:val="28"/>
          <w:lang w:val="en-US" w:eastAsia="zh-CN" w:bidi="ar-SA"/>
        </w:rPr>
      </w:pPr>
      <w:bookmarkStart w:id="195" w:name="_Toc1637816144"/>
      <w:r>
        <w:rPr>
          <w:rFonts w:hint="default" w:ascii="Times New Roman Bold" w:hAnsi="Times New Roman Bold" w:eastAsia="宋体" w:cs="Times New Roman Bold"/>
          <w:b/>
          <w:bCs/>
          <w:kern w:val="0"/>
          <w:sz w:val="28"/>
          <w:szCs w:val="28"/>
          <w:lang w:val="en-US" w:eastAsia="zh-CN" w:bidi="ar-SA"/>
        </w:rPr>
        <w:t>Endoscopy and Laparoscopy</w:t>
      </w:r>
      <w:bookmarkEnd w:id="195"/>
    </w:p>
    <w:p w14:paraId="02CC1D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These techniques are not recommended for assessing objective tumor response. However, they can be used to confirm complete pathological response when biopsy specimens are obtained or to confirm recurrence in trials where the endpoint is recurrence after complete response or surgical resection.</w:t>
      </w:r>
    </w:p>
    <w:p w14:paraId="718F7078">
      <w:pPr>
        <w:keepNext w:val="0"/>
        <w:keepLines w:val="0"/>
        <w:pageBreakBefore w:val="0"/>
        <w:widowControl w:val="0"/>
        <w:kinsoku/>
        <w:wordWrap/>
        <w:overflowPunct/>
        <w:topLinePunct w:val="0"/>
        <w:autoSpaceDE/>
        <w:autoSpaceDN/>
        <w:bidi w:val="0"/>
        <w:adjustRightInd/>
        <w:snapToGrid/>
        <w:spacing w:line="600" w:lineRule="auto"/>
        <w:ind w:firstLine="561" w:firstLineChars="200"/>
        <w:textAlignment w:val="auto"/>
        <w:rPr>
          <w:rFonts w:hint="default" w:ascii="Times New Roman Bold" w:hAnsi="Times New Roman Bold" w:eastAsia="宋体" w:cs="Times New Roman Bold"/>
          <w:b/>
          <w:bCs/>
          <w:kern w:val="0"/>
          <w:sz w:val="28"/>
          <w:szCs w:val="28"/>
          <w:lang w:val="en-US" w:eastAsia="zh-CN" w:bidi="ar-SA"/>
        </w:rPr>
      </w:pPr>
      <w:bookmarkStart w:id="196" w:name="_Toc330544962"/>
      <w:r>
        <w:rPr>
          <w:rFonts w:hint="default" w:ascii="Times New Roman Bold" w:hAnsi="Times New Roman Bold" w:eastAsia="宋体" w:cs="Times New Roman Bold"/>
          <w:b/>
          <w:bCs/>
          <w:kern w:val="0"/>
          <w:sz w:val="28"/>
          <w:szCs w:val="28"/>
          <w:lang w:val="en-US" w:eastAsia="zh-CN" w:bidi="ar-SA"/>
        </w:rPr>
        <w:t>Tumor Markers</w:t>
      </w:r>
      <w:bookmarkEnd w:id="196"/>
    </w:p>
    <w:p w14:paraId="4E5CE8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Tumor markers alone cannot be used to evaluate objective tumor response. However, if markers exceed the upper limit of normal at baseline, they must normalize to be considered indicative of complete response. Because tumor markers are disease-specific, their measurement criteria should be specified in the protocol, taking this factor into account. Specific guidelines for CA-125 response (recurrent ovarian cancer) and prostate-specific antigen (PSA) response (recurrent prostate cancer) have been published. Additionally, the Gynecologic Cancer InterGroup has developed CA-125 progression criteria, which are incorporated into objective tumor evaluations in first-line ovarian cancer trials.</w:t>
      </w:r>
    </w:p>
    <w:p w14:paraId="59004EC8">
      <w:pPr>
        <w:keepNext w:val="0"/>
        <w:keepLines w:val="0"/>
        <w:pageBreakBefore w:val="0"/>
        <w:widowControl w:val="0"/>
        <w:kinsoku/>
        <w:wordWrap/>
        <w:overflowPunct/>
        <w:topLinePunct w:val="0"/>
        <w:autoSpaceDE/>
        <w:autoSpaceDN/>
        <w:bidi w:val="0"/>
        <w:adjustRightInd/>
        <w:snapToGrid/>
        <w:spacing w:line="600" w:lineRule="auto"/>
        <w:ind w:firstLine="561" w:firstLineChars="200"/>
        <w:textAlignment w:val="auto"/>
        <w:rPr>
          <w:rFonts w:hint="default" w:ascii="Times New Roman Bold" w:hAnsi="Times New Roman Bold" w:eastAsia="宋体" w:cs="Times New Roman Bold"/>
          <w:b/>
          <w:bCs/>
          <w:kern w:val="0"/>
          <w:sz w:val="28"/>
          <w:szCs w:val="28"/>
          <w:lang w:val="en-US" w:eastAsia="zh-CN" w:bidi="ar-SA"/>
        </w:rPr>
      </w:pPr>
      <w:bookmarkStart w:id="197" w:name="_Toc2076465192"/>
      <w:r>
        <w:rPr>
          <w:rFonts w:hint="default" w:ascii="Times New Roman Bold" w:hAnsi="Times New Roman Bold" w:eastAsia="宋体" w:cs="Times New Roman Bold"/>
          <w:b/>
          <w:bCs/>
          <w:kern w:val="0"/>
          <w:sz w:val="28"/>
          <w:szCs w:val="28"/>
          <w:lang w:val="en-US" w:eastAsia="zh-CN" w:bidi="ar-SA"/>
        </w:rPr>
        <w:t>Cytology and Histology</w:t>
      </w:r>
      <w:bookmarkEnd w:id="197"/>
    </w:p>
    <w:p w14:paraId="4BBBC0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These techniques may be used in rare cases where the protocol requires distinguishing PR from CR (e.g., residual lesions in tumor types such as germ cell tumors, where residual benign tumor lesions may still be present). When effusion is a potential side effect of a therapy (e.g., taxane compounds or angiogenesis inhibitors) and measurable tumors meet the criteria for response or stable disease, tumor-related effusion appearing or worsening during treatment can be confirmed by cytology to differentiate between response (or stable disease) and disease progression.</w:t>
      </w:r>
    </w:p>
    <w:p w14:paraId="76E3F085">
      <w:pPr>
        <w:keepNext w:val="0"/>
        <w:keepLines w:val="0"/>
        <w:pageBreakBefore w:val="0"/>
        <w:widowControl w:val="0"/>
        <w:kinsoku/>
        <w:wordWrap/>
        <w:overflowPunct/>
        <w:topLinePunct w:val="0"/>
        <w:autoSpaceDE/>
        <w:autoSpaceDN/>
        <w:bidi w:val="0"/>
        <w:adjustRightInd/>
        <w:snapToGrid/>
        <w:spacing w:line="600" w:lineRule="auto"/>
        <w:ind w:firstLine="561" w:firstLineChars="200"/>
        <w:textAlignment w:val="auto"/>
        <w:rPr>
          <w:rFonts w:hint="default" w:ascii="Times New Roman Bold" w:hAnsi="Times New Roman Bold" w:eastAsia="宋体" w:cs="Times New Roman Bold"/>
          <w:b/>
          <w:bCs/>
          <w:kern w:val="0"/>
          <w:sz w:val="28"/>
          <w:szCs w:val="28"/>
          <w:lang w:val="en-US" w:eastAsia="zh-CN" w:bidi="ar-SA"/>
        </w:rPr>
      </w:pPr>
      <w:bookmarkStart w:id="198" w:name="_Toc393734547"/>
      <w:bookmarkStart w:id="199" w:name="_Toc287297296"/>
      <w:r>
        <w:rPr>
          <w:rFonts w:hint="default" w:ascii="Times New Roman Bold" w:hAnsi="Times New Roman Bold" w:eastAsia="宋体" w:cs="Times New Roman Bold"/>
          <w:b/>
          <w:bCs/>
          <w:kern w:val="0"/>
          <w:sz w:val="28"/>
          <w:szCs w:val="28"/>
          <w:lang w:val="en-US" w:eastAsia="zh-CN" w:bidi="ar-SA"/>
        </w:rPr>
        <w:t>3. Response Criteria</w:t>
      </w:r>
      <w:bookmarkEnd w:id="198"/>
      <w:bookmarkEnd w:id="199"/>
    </w:p>
    <w:p w14:paraId="50D72815">
      <w:pPr>
        <w:keepNext w:val="0"/>
        <w:keepLines w:val="0"/>
        <w:pageBreakBefore w:val="0"/>
        <w:widowControl w:val="0"/>
        <w:kinsoku/>
        <w:wordWrap/>
        <w:overflowPunct/>
        <w:topLinePunct w:val="0"/>
        <w:autoSpaceDE/>
        <w:autoSpaceDN/>
        <w:bidi w:val="0"/>
        <w:adjustRightInd/>
        <w:snapToGrid/>
        <w:spacing w:line="600" w:lineRule="auto"/>
        <w:ind w:firstLine="561" w:firstLineChars="200"/>
        <w:textAlignment w:val="auto"/>
        <w:rPr>
          <w:rFonts w:hint="default" w:ascii="Times New Roman Bold" w:hAnsi="Times New Roman Bold" w:eastAsia="宋体" w:cs="Times New Roman Bold"/>
          <w:b/>
          <w:bCs/>
          <w:kern w:val="0"/>
          <w:sz w:val="28"/>
          <w:szCs w:val="28"/>
          <w:lang w:val="en-US" w:eastAsia="zh-CN" w:bidi="ar-SA"/>
        </w:rPr>
      </w:pPr>
      <w:bookmarkStart w:id="200" w:name="_Toc1099415022"/>
      <w:r>
        <w:rPr>
          <w:rFonts w:hint="default" w:ascii="Times New Roman Bold" w:hAnsi="Times New Roman Bold" w:eastAsia="宋体" w:cs="Times New Roman Bold"/>
          <w:b/>
          <w:bCs/>
          <w:kern w:val="0"/>
          <w:sz w:val="28"/>
          <w:szCs w:val="28"/>
          <w:lang w:val="en-US" w:eastAsia="zh-CN" w:bidi="ar-SA"/>
        </w:rPr>
        <w:t>Evaluation of Target Lesions</w:t>
      </w:r>
      <w:bookmarkEnd w:id="200"/>
    </w:p>
    <w:p w14:paraId="5E43E7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Complete Response: Disappearance of all target lesions. Any pathological lymph nodes (whether target or non-target) must have a short axis &lt; 10 mm.</w:t>
      </w:r>
    </w:p>
    <w:p w14:paraId="39E78F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Partial Response : At least a 30% decrease in the sum of diameters of target lesions compared to the baseline sum.</w:t>
      </w:r>
    </w:p>
    <w:p w14:paraId="108B6A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Progressive Disease: At least a 20% increase in the sum of diameters of target lesions compared to the smallest sum recorded during the study (including baseline if it is the smallest). In addition to the relative increase of 20%, the sum must also demonstrate an absolute increase of at least 5 mm. (Note: The appearance of one or more new lesions is also considered progression.)</w:t>
      </w:r>
    </w:p>
    <w:p w14:paraId="28FECD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Stable Disease: Neither sufficient shrinkage to qualify for PR nor sufficient increase to qualify for PD, relative to the smallest sum of diameters recorded during the study.</w:t>
      </w:r>
    </w:p>
    <w:p w14:paraId="64FF7AE8">
      <w:pPr>
        <w:keepNext w:val="0"/>
        <w:keepLines w:val="0"/>
        <w:pageBreakBefore w:val="0"/>
        <w:widowControl w:val="0"/>
        <w:kinsoku/>
        <w:wordWrap/>
        <w:overflowPunct/>
        <w:topLinePunct w:val="0"/>
        <w:autoSpaceDE/>
        <w:autoSpaceDN/>
        <w:bidi w:val="0"/>
        <w:adjustRightInd/>
        <w:snapToGrid/>
        <w:spacing w:line="600" w:lineRule="auto"/>
        <w:ind w:firstLine="561" w:firstLineChars="200"/>
        <w:textAlignment w:val="auto"/>
        <w:rPr>
          <w:rFonts w:hint="default" w:ascii="Times New Roman Bold" w:hAnsi="Times New Roman Bold" w:eastAsia="宋体" w:cs="Times New Roman Bold"/>
          <w:b/>
          <w:bCs/>
          <w:kern w:val="0"/>
          <w:sz w:val="28"/>
          <w:szCs w:val="28"/>
          <w:lang w:val="en-US" w:eastAsia="zh-CN" w:bidi="ar-SA"/>
        </w:rPr>
      </w:pPr>
      <w:bookmarkStart w:id="201" w:name="_Toc918975966"/>
      <w:r>
        <w:rPr>
          <w:rFonts w:hint="default" w:ascii="Times New Roman Bold" w:hAnsi="Times New Roman Bold" w:eastAsia="宋体" w:cs="Times New Roman Bold"/>
          <w:b/>
          <w:bCs/>
          <w:kern w:val="0"/>
          <w:sz w:val="28"/>
          <w:szCs w:val="28"/>
          <w:lang w:val="en-US" w:eastAsia="zh-CN" w:bidi="ar-SA"/>
        </w:rPr>
        <w:t>Lymph Nodes</w:t>
      </w:r>
      <w:bookmarkEnd w:id="201"/>
    </w:p>
    <w:p w14:paraId="788012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Lymph nodes identified as target lesions should always have actual short-axis measurements recorded (measured in the same anatomical plane as at baseline), even if they shrink to &lt; 10 mm during the study. This means that if lymph nodes are included as target lesions, the "sum" of lesions cannot be 0, even when CR criteria are met, because normal lymph nodes have a short axis &lt; 10 mm. In the case report form, each lymph node must be recorded separately, and all must have a short axis &lt; 10 mm to meet CR criteria. For PR, SD, and PD, the actual short-axis measurements of the nodes must be included in the sum of target lesions.</w:t>
      </w:r>
    </w:p>
    <w:p w14:paraId="4A7BA002">
      <w:pPr>
        <w:keepNext w:val="0"/>
        <w:keepLines w:val="0"/>
        <w:pageBreakBefore w:val="0"/>
        <w:widowControl w:val="0"/>
        <w:kinsoku/>
        <w:wordWrap/>
        <w:overflowPunct/>
        <w:topLinePunct w:val="0"/>
        <w:autoSpaceDE/>
        <w:autoSpaceDN/>
        <w:bidi w:val="0"/>
        <w:adjustRightInd/>
        <w:snapToGrid/>
        <w:spacing w:line="600" w:lineRule="auto"/>
        <w:ind w:firstLine="561" w:firstLineChars="200"/>
        <w:textAlignment w:val="auto"/>
        <w:rPr>
          <w:rFonts w:hint="default" w:ascii="Times New Roman Bold" w:hAnsi="Times New Roman Bold" w:eastAsia="宋体" w:cs="Times New Roman Bold"/>
          <w:b/>
          <w:bCs/>
          <w:kern w:val="0"/>
          <w:sz w:val="28"/>
          <w:szCs w:val="28"/>
          <w:lang w:val="en-US" w:eastAsia="zh-CN" w:bidi="ar-SA"/>
        </w:rPr>
      </w:pPr>
      <w:bookmarkStart w:id="202" w:name="_Toc526671338"/>
      <w:r>
        <w:rPr>
          <w:rFonts w:hint="default" w:ascii="Times New Roman Bold" w:hAnsi="Times New Roman Bold" w:eastAsia="宋体" w:cs="Times New Roman Bold"/>
          <w:b/>
          <w:bCs/>
          <w:kern w:val="0"/>
          <w:sz w:val="28"/>
          <w:szCs w:val="28"/>
          <w:lang w:val="en-US" w:eastAsia="zh-CN" w:bidi="ar-SA"/>
        </w:rPr>
        <w:t>Target Lesions Becoming "Too Small to Measure"</w:t>
      </w:r>
      <w:bookmarkEnd w:id="202"/>
    </w:p>
    <w:p w14:paraId="5049C9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During the study, all lesions (nodal and non-nodal) recorded at baseline should have accurate measurements recorded at each subsequent evaluation, even if the measurements become very small (e.g., 2 mm). However, sometimes target lesions or lymph nodes recorded at baseline become indistinct on CT scans, making precise measurement difficult, and may be reported as "too small to measure." In such cases, it is important to record the data in the eCRF. If the radiologist believes the lesion has disappeared, the measurement should be recorded as 0 mm. If the lesion is still considered present but too small to measure, a default value of 5 mm should be recorded. (Note: This rule is less likely to apply to lymph nodes, as they are typically well-defined and surrounded by fat, such as in the retroperitoneum. However, if a lymph node is considered present but too small to measure, it should also be recorded as 5 mm.) This default value is derived from the 5 mm CT slice thickness (but should not be adjusted for different slice thicknesses). These measurements may not be reproducible, so providing this default value helps avoid incorrect conclusions about response or progression due to measurement errors. However, if the radiologist can measure accurately, the measurement should be recorded, even if it is below 5 mm.</w:t>
      </w:r>
    </w:p>
    <w:p w14:paraId="5CCBAF87">
      <w:pPr>
        <w:keepNext w:val="0"/>
        <w:keepLines w:val="0"/>
        <w:pageBreakBefore w:val="0"/>
        <w:widowControl w:val="0"/>
        <w:kinsoku/>
        <w:wordWrap/>
        <w:overflowPunct/>
        <w:topLinePunct w:val="0"/>
        <w:autoSpaceDE/>
        <w:autoSpaceDN/>
        <w:bidi w:val="0"/>
        <w:adjustRightInd/>
        <w:snapToGrid/>
        <w:spacing w:line="600" w:lineRule="auto"/>
        <w:ind w:firstLine="561" w:firstLineChars="200"/>
        <w:textAlignment w:val="auto"/>
        <w:rPr>
          <w:rFonts w:hint="default" w:ascii="Times New Roman Bold" w:hAnsi="Times New Roman Bold" w:eastAsia="宋体" w:cs="Times New Roman Bold"/>
          <w:b/>
          <w:bCs/>
          <w:kern w:val="0"/>
          <w:sz w:val="28"/>
          <w:szCs w:val="28"/>
          <w:lang w:val="en-US" w:eastAsia="zh-CN" w:bidi="ar-SA"/>
        </w:rPr>
      </w:pPr>
      <w:bookmarkStart w:id="203" w:name="_Toc1985068479"/>
      <w:r>
        <w:rPr>
          <w:rFonts w:hint="default" w:ascii="Times New Roman Bold" w:hAnsi="Times New Roman Bold" w:eastAsia="宋体" w:cs="Times New Roman Bold"/>
          <w:b/>
          <w:bCs/>
          <w:kern w:val="0"/>
          <w:sz w:val="28"/>
          <w:szCs w:val="28"/>
          <w:lang w:val="en-US" w:eastAsia="zh-CN" w:bidi="ar-SA"/>
        </w:rPr>
        <w:t>Lesions Splitting or Merging During Treatment</w:t>
      </w:r>
      <w:bookmarkEnd w:id="203"/>
    </w:p>
    <w:p w14:paraId="6A8B19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If non-nodal lesions are "fragmented," the longest diameters of the fragments should be added together to calculate the sum of target lesion diameters. Similarly, if lesions merge, they may maintain a plane that allows measurement of the longest diameter of each individual lesion. If lesions merge completely and cannot be measured separately, the longest diameter vector of the "merged lesion" should be used as the maximum longest diameter.</w:t>
      </w:r>
    </w:p>
    <w:p w14:paraId="4B3FC2D5">
      <w:pPr>
        <w:keepNext w:val="0"/>
        <w:keepLines w:val="0"/>
        <w:pageBreakBefore w:val="0"/>
        <w:widowControl w:val="0"/>
        <w:kinsoku/>
        <w:wordWrap/>
        <w:overflowPunct/>
        <w:topLinePunct w:val="0"/>
        <w:autoSpaceDE/>
        <w:autoSpaceDN/>
        <w:bidi w:val="0"/>
        <w:adjustRightInd/>
        <w:snapToGrid/>
        <w:spacing w:line="600" w:lineRule="auto"/>
        <w:ind w:firstLine="561" w:firstLineChars="200"/>
        <w:textAlignment w:val="auto"/>
        <w:rPr>
          <w:rFonts w:hint="default" w:ascii="Times New Roman Bold" w:hAnsi="Times New Roman Bold" w:eastAsia="宋体" w:cs="Times New Roman Bold"/>
          <w:b/>
          <w:bCs/>
          <w:kern w:val="0"/>
          <w:sz w:val="28"/>
          <w:szCs w:val="28"/>
          <w:lang w:val="en-US" w:eastAsia="zh-CN" w:bidi="ar-SA"/>
        </w:rPr>
      </w:pPr>
      <w:bookmarkStart w:id="204" w:name="_Toc1887470408"/>
      <w:r>
        <w:rPr>
          <w:rFonts w:hint="default" w:ascii="Times New Roman Bold" w:hAnsi="Times New Roman Bold" w:eastAsia="宋体" w:cs="Times New Roman Bold"/>
          <w:b/>
          <w:bCs/>
          <w:kern w:val="0"/>
          <w:sz w:val="28"/>
          <w:szCs w:val="28"/>
          <w:lang w:val="en-US" w:eastAsia="zh-CN" w:bidi="ar-SA"/>
        </w:rPr>
        <w:t>Evaluation of Non-Target Lesions</w:t>
      </w:r>
      <w:bookmarkEnd w:id="204"/>
    </w:p>
    <w:p w14:paraId="0FF7D1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Although some non-target lesions may actually be measurable, they do not require measurement and should only be qualitatively assessed at protocol-specified time points.</w:t>
      </w:r>
    </w:p>
    <w:p w14:paraId="1ECF7A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CR: Disappearance of all non-target lesions, and normalization of tumor marker levels. All lymph nodes must shrink to non-pathological size (short axis &lt; 10 mm).</w:t>
      </w:r>
    </w:p>
    <w:p w14:paraId="38D197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PD: Unequivocal progression of existing non-target lesions (see comments below). (Note: The appearance of one or more new lesions is also considered progression.)</w:t>
      </w:r>
    </w:p>
    <w:p w14:paraId="2D8194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Non-CR/Non-PD: Persistence of one or more non-target lesions and/or tumor marker levels above normal limits.</w:t>
      </w:r>
    </w:p>
    <w:p w14:paraId="2AD12AD9">
      <w:pPr>
        <w:keepNext w:val="0"/>
        <w:keepLines w:val="0"/>
        <w:pageBreakBefore w:val="0"/>
        <w:widowControl w:val="0"/>
        <w:kinsoku/>
        <w:wordWrap/>
        <w:overflowPunct/>
        <w:topLinePunct w:val="0"/>
        <w:autoSpaceDE/>
        <w:autoSpaceDN/>
        <w:bidi w:val="0"/>
        <w:adjustRightInd/>
        <w:snapToGrid/>
        <w:spacing w:line="600" w:lineRule="auto"/>
        <w:ind w:firstLine="561" w:firstLineChars="200"/>
        <w:textAlignment w:val="auto"/>
        <w:rPr>
          <w:rFonts w:hint="default" w:ascii="Times New Roman Bold" w:hAnsi="Times New Roman Bold" w:eastAsia="宋体" w:cs="Times New Roman Bold"/>
          <w:b/>
          <w:bCs/>
          <w:kern w:val="0"/>
          <w:sz w:val="28"/>
          <w:szCs w:val="28"/>
          <w:lang w:val="en-US" w:eastAsia="zh-CN" w:bidi="ar-SA"/>
        </w:rPr>
      </w:pPr>
      <w:bookmarkStart w:id="205" w:name="_Toc86713772"/>
      <w:r>
        <w:rPr>
          <w:rFonts w:hint="default" w:ascii="Times New Roman Bold" w:hAnsi="Times New Roman Bold" w:eastAsia="宋体" w:cs="Times New Roman Bold"/>
          <w:b/>
          <w:bCs/>
          <w:kern w:val="0"/>
          <w:sz w:val="28"/>
          <w:szCs w:val="28"/>
          <w:lang w:val="en-US" w:eastAsia="zh-CN" w:bidi="ar-SA"/>
        </w:rPr>
        <w:t>Patients with Measurable Disease</w:t>
      </w:r>
      <w:bookmarkEnd w:id="205"/>
    </w:p>
    <w:p w14:paraId="736DA0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In such cases, if non-target lesions are assessed as "unequivocal progression," the overall tumor burden must have significantly worsened to the extent that treatment is discontinued, even if target lesions show SD or PR. A slight "increase" in one or more non-target lesions is usually insufficient to be considered unequivocal progression. Therefore, it is rare to assess overall progression based solely on non-target lesion changes when target lesions show SD or PR.</w:t>
      </w:r>
    </w:p>
    <w:p w14:paraId="79FDAEAB">
      <w:pPr>
        <w:keepNext w:val="0"/>
        <w:keepLines w:val="0"/>
        <w:pageBreakBefore w:val="0"/>
        <w:widowControl w:val="0"/>
        <w:kinsoku/>
        <w:wordWrap/>
        <w:overflowPunct/>
        <w:topLinePunct w:val="0"/>
        <w:autoSpaceDE/>
        <w:autoSpaceDN/>
        <w:bidi w:val="0"/>
        <w:adjustRightInd/>
        <w:snapToGrid/>
        <w:spacing w:line="600" w:lineRule="auto"/>
        <w:ind w:firstLine="561" w:firstLineChars="200"/>
        <w:textAlignment w:val="auto"/>
        <w:rPr>
          <w:rFonts w:hint="default" w:ascii="Times New Roman Bold" w:hAnsi="Times New Roman Bold" w:eastAsia="宋体" w:cs="Times New Roman Bold"/>
          <w:b/>
          <w:bCs/>
          <w:kern w:val="0"/>
          <w:sz w:val="28"/>
          <w:szCs w:val="28"/>
          <w:lang w:val="en-US" w:eastAsia="zh-CN" w:bidi="ar-SA"/>
        </w:rPr>
      </w:pPr>
      <w:bookmarkStart w:id="206" w:name="_Toc1404453338"/>
      <w:r>
        <w:rPr>
          <w:rFonts w:hint="default" w:ascii="Times New Roman Bold" w:hAnsi="Times New Roman Bold" w:eastAsia="宋体" w:cs="Times New Roman Bold"/>
          <w:b/>
          <w:bCs/>
          <w:kern w:val="0"/>
          <w:sz w:val="28"/>
          <w:szCs w:val="28"/>
          <w:lang w:val="en-US" w:eastAsia="zh-CN" w:bidi="ar-SA"/>
        </w:rPr>
        <w:t>Patients with Non-Measurable Disease Only</w:t>
      </w:r>
      <w:bookmarkEnd w:id="206"/>
    </w:p>
    <w:p w14:paraId="72CADF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This situation may occur in certain Phase 3 trials where the inclusion criteria do not require measurable disease. The same general concepts apply, but without measurable disease to assess, the increase in non-measurable disease burden is harder to quantify. An effective test for assessing unequivocal progression in such cases is to consider whether the overall disease burden increase based on non-target lesion changes is comparable to the increase required to declare progression in measurable disease (i.e., a 20% increase in diameter, representing a 73% increase in tumor "volume").</w:t>
      </w:r>
    </w:p>
    <w:p w14:paraId="1F2864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For example, progression may be indicated by pleural effusion increasing from "trace" to "large," lymphangitic spread becoming diffuse, or other changes described in the protocol as "sufficient to warrant a change in therapy." If "unequivocal progression" is observed, the patient should be considered to have overall disease progression at that time point. Although objective criteria for assessing non-measurable disease are ideal, the nature of the disease makes this impossible, so only substantial increases should qualify.</w:t>
      </w:r>
    </w:p>
    <w:p w14:paraId="44AB08D5">
      <w:pPr>
        <w:keepNext w:val="0"/>
        <w:keepLines w:val="0"/>
        <w:pageBreakBefore w:val="0"/>
        <w:widowControl w:val="0"/>
        <w:kinsoku/>
        <w:wordWrap/>
        <w:overflowPunct/>
        <w:topLinePunct w:val="0"/>
        <w:autoSpaceDE/>
        <w:autoSpaceDN/>
        <w:bidi w:val="0"/>
        <w:adjustRightInd/>
        <w:snapToGrid/>
        <w:spacing w:line="600" w:lineRule="auto"/>
        <w:ind w:firstLine="561" w:firstLineChars="200"/>
        <w:textAlignment w:val="auto"/>
        <w:rPr>
          <w:rFonts w:hint="default" w:ascii="Times New Roman Bold" w:hAnsi="Times New Roman Bold" w:eastAsia="宋体" w:cs="Times New Roman Bold"/>
          <w:b/>
          <w:bCs/>
          <w:kern w:val="0"/>
          <w:sz w:val="28"/>
          <w:szCs w:val="28"/>
          <w:lang w:val="en-US" w:eastAsia="zh-CN" w:bidi="ar-SA"/>
        </w:rPr>
      </w:pPr>
      <w:bookmarkStart w:id="207" w:name="_Toc1654487589"/>
      <w:r>
        <w:rPr>
          <w:rFonts w:hint="default" w:ascii="Times New Roman Bold" w:hAnsi="Times New Roman Bold" w:eastAsia="宋体" w:cs="Times New Roman Bold"/>
          <w:b/>
          <w:bCs/>
          <w:kern w:val="0"/>
          <w:sz w:val="28"/>
          <w:szCs w:val="28"/>
          <w:lang w:val="en-US" w:eastAsia="zh-CN" w:bidi="ar-SA"/>
        </w:rPr>
        <w:t>New Lesions</w:t>
      </w:r>
      <w:bookmarkEnd w:id="207"/>
    </w:p>
    <w:p w14:paraId="010079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appearance of new malignant lesions indicates disease progression and should be taken seriously. There are no specific standards for identifying new imaging lesions; however, new lesions should be unambiguous—not caused by differences in scanning techniques, changes in imaging modalities, or non-tumor factors (e.g., some "new" bone lesions may represent healing or flare-ups of existing lesions). This is particularly important when baseline lesions show partial or complete response. For example, necrotic liver lesions may be reported as "new" cystic lesions on CT scans but are not truly new.</w:t>
      </w:r>
    </w:p>
    <w:p w14:paraId="6CC119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Lesions detected during follow-up in anatomical areas not scanned at baseline are considered new and indicate progression. For example, if a patient with visceral disease at baseline develops brain metastases detected by CT or MRI during the trial, the brain metastases are evidence of progression, even if baseline brain imaging was not performed.</w:t>
      </w:r>
    </w:p>
    <w:p w14:paraId="6F78C3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If new lesions are ambiguous (e.g., very small), continued treatment and follow-up may help clarify whether they are truly new. If repeat scans confirm new lesions, the date of progression is the date of the first scan.</w:t>
      </w:r>
    </w:p>
    <w:p w14:paraId="4D32BD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Although FDG-PET assessments generally require additional confirmation, combining FDG-PET with CT scans can be reasonable for progression assessments, especially when "new" lesions are suspected. New lesions detected by FDG-PET can be identified as follows:</w:t>
      </w:r>
    </w:p>
    <w:p w14:paraId="7BF8CA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Baseline FDG-PET negative, follow-up FDG-PET positive: New lesions are evidence of progression.</w:t>
      </w:r>
    </w:p>
    <w:p w14:paraId="0B7F1F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No baseline FDG-PET, follow-up FDG-PET positive: If new lesions on FDG-PET are confirmed by CT, progression is declared. If not confirmed by CT, repeat CT is needed (if confirmed, the progression date is the date of the initial FDG-PET finding). If FDG-PET-positive lesions correspond to existing lesions on CT without progression, no progression is declared.</w:t>
      </w:r>
    </w:p>
    <w:p w14:paraId="0AC980F6">
      <w:pPr>
        <w:keepNext w:val="0"/>
        <w:keepLines w:val="0"/>
        <w:pageBreakBefore w:val="0"/>
        <w:widowControl w:val="0"/>
        <w:kinsoku/>
        <w:wordWrap/>
        <w:overflowPunct/>
        <w:topLinePunct w:val="0"/>
        <w:autoSpaceDE/>
        <w:autoSpaceDN/>
        <w:bidi w:val="0"/>
        <w:adjustRightInd/>
        <w:snapToGrid/>
        <w:spacing w:line="600" w:lineRule="auto"/>
        <w:ind w:firstLine="561" w:firstLineChars="200"/>
        <w:textAlignment w:val="auto"/>
        <w:rPr>
          <w:rFonts w:hint="default" w:ascii="Times New Roman Bold" w:hAnsi="Times New Roman Bold" w:eastAsia="宋体" w:cs="Times New Roman Bold"/>
          <w:b/>
          <w:bCs/>
          <w:kern w:val="0"/>
          <w:sz w:val="28"/>
          <w:szCs w:val="28"/>
          <w:lang w:val="en-US" w:eastAsia="zh-CN" w:bidi="ar-SA"/>
        </w:rPr>
      </w:pPr>
      <w:bookmarkStart w:id="208" w:name="_Toc1354646967"/>
      <w:r>
        <w:rPr>
          <w:rFonts w:hint="default" w:ascii="Times New Roman Bold" w:hAnsi="Times New Roman Bold" w:eastAsia="宋体" w:cs="Times New Roman Bold"/>
          <w:b/>
          <w:bCs/>
          <w:kern w:val="0"/>
          <w:sz w:val="28"/>
          <w:szCs w:val="28"/>
          <w:lang w:val="en-US" w:eastAsia="zh-CN" w:bidi="ar-SA"/>
        </w:rPr>
        <w:t>Assessment of Best Overall Response</w:t>
      </w:r>
      <w:bookmarkEnd w:id="208"/>
    </w:p>
    <w:p w14:paraId="0A8091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Best overall response is the best response recorded from the start of study treatment until the end of treatment, considering any requirements for response confirmation. Sometimes responses occur after treatment ends, so the protocol should specify whether post-treatment responses are included in the best overall response. The protocol must also clarify how new treatments before progression affect the best response. The best overall response depends on findings for target and non-target lesions, as well as the appearance of new lesions. Additionally, confirmatory measurements may be required depending on the trial design and protocol. Especially in non-randomized trials where response is the primary endpoint, PR or CR must be confirmed to determine the "best overall response."</w:t>
      </w:r>
    </w:p>
    <w:p w14:paraId="0B0F46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Once all patient data are available, the best overall response is determined. In trials where confirmation of CR or PR is not required, the best response is the best observed at any time point (e.g., a patient with SD at the first assessment, PR at the second, and PD at the last has a best response of PR). If SD is the best response, it must also meet the protocol-specified minimum duration from baseline. If SD at a time point does not meet the minimum duration, the best response depends on subsequent assessments. For example, if a patient has SD at the first assessment and PD at the second without meeting the minimum duration for SD, the best response is PD. If the patient is lost to follow-up after the first SD assessment, the result is "not evaluable."</w:t>
      </w:r>
    </w:p>
    <w:tbl>
      <w:tblPr>
        <w:tblStyle w:val="15"/>
        <w:tblW w:w="5000" w:type="pct"/>
        <w:tblInd w:w="0" w:type="dxa"/>
        <w:tblLayout w:type="autofit"/>
        <w:tblCellMar>
          <w:top w:w="0" w:type="dxa"/>
          <w:left w:w="108" w:type="dxa"/>
          <w:bottom w:w="0" w:type="dxa"/>
          <w:right w:w="108" w:type="dxa"/>
        </w:tblCellMar>
      </w:tblPr>
      <w:tblGrid>
        <w:gridCol w:w="1959"/>
        <w:gridCol w:w="3021"/>
        <w:gridCol w:w="1598"/>
        <w:gridCol w:w="1968"/>
      </w:tblGrid>
      <w:tr w14:paraId="02F4952C">
        <w:tc>
          <w:tcPr>
            <w:tcW w:w="0" w:type="auto"/>
            <w:tcBorders>
              <w:top w:val="single" w:color="000000" w:sz="6" w:space="0"/>
              <w:left w:val="single" w:color="000000" w:sz="6" w:space="0"/>
              <w:bottom w:val="single" w:color="000000" w:sz="6" w:space="0"/>
              <w:right w:val="single" w:color="000000" w:sz="6" w:space="0"/>
            </w:tcBorders>
            <w:shd w:val="clear" w:color="auto" w:fill="F2F2F2"/>
            <w:tcMar>
              <w:top w:w="120" w:type="dxa"/>
              <w:left w:w="120" w:type="dxa"/>
              <w:bottom w:w="120" w:type="dxa"/>
              <w:right w:w="120" w:type="dxa"/>
            </w:tcMar>
            <w:vAlign w:val="center"/>
          </w:tcPr>
          <w:p w14:paraId="39BE06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Target Lesions</w:t>
            </w:r>
          </w:p>
        </w:tc>
        <w:tc>
          <w:tcPr>
            <w:tcW w:w="0" w:type="auto"/>
            <w:tcBorders>
              <w:top w:val="single" w:color="000000" w:sz="6" w:space="0"/>
              <w:left w:val="single" w:color="000000" w:sz="6" w:space="0"/>
              <w:bottom w:val="single" w:color="000000" w:sz="6" w:space="0"/>
              <w:right w:val="single" w:color="000000" w:sz="6" w:space="0"/>
            </w:tcBorders>
            <w:shd w:val="clear" w:color="auto" w:fill="F2F2F2"/>
            <w:tcMar>
              <w:top w:w="120" w:type="dxa"/>
              <w:left w:w="120" w:type="dxa"/>
              <w:bottom w:w="120" w:type="dxa"/>
              <w:right w:w="120" w:type="dxa"/>
            </w:tcMar>
            <w:vAlign w:val="center"/>
          </w:tcPr>
          <w:p w14:paraId="14FACD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Non-Target Lesions</w:t>
            </w:r>
          </w:p>
        </w:tc>
        <w:tc>
          <w:tcPr>
            <w:tcW w:w="0" w:type="auto"/>
            <w:tcBorders>
              <w:top w:val="single" w:color="000000" w:sz="6" w:space="0"/>
              <w:left w:val="single" w:color="000000" w:sz="6" w:space="0"/>
              <w:bottom w:val="single" w:color="000000" w:sz="6" w:space="0"/>
              <w:right w:val="single" w:color="000000" w:sz="6" w:space="0"/>
            </w:tcBorders>
            <w:shd w:val="clear" w:color="auto" w:fill="F2F2F2"/>
            <w:tcMar>
              <w:top w:w="120" w:type="dxa"/>
              <w:left w:w="120" w:type="dxa"/>
              <w:bottom w:w="120" w:type="dxa"/>
              <w:right w:w="120" w:type="dxa"/>
            </w:tcMar>
            <w:vAlign w:val="center"/>
          </w:tcPr>
          <w:p w14:paraId="64CA7A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New Lesions</w:t>
            </w:r>
          </w:p>
        </w:tc>
        <w:tc>
          <w:tcPr>
            <w:tcW w:w="0" w:type="auto"/>
            <w:tcBorders>
              <w:top w:val="single" w:color="000000" w:sz="6" w:space="0"/>
              <w:left w:val="single" w:color="000000" w:sz="6" w:space="0"/>
              <w:bottom w:val="single" w:color="000000" w:sz="6" w:space="0"/>
              <w:right w:val="single" w:color="000000" w:sz="6" w:space="0"/>
            </w:tcBorders>
            <w:shd w:val="clear" w:color="auto" w:fill="F2F2F2"/>
            <w:tcMar>
              <w:top w:w="120" w:type="dxa"/>
              <w:left w:w="120" w:type="dxa"/>
              <w:bottom w:w="120" w:type="dxa"/>
              <w:right w:w="120" w:type="dxa"/>
            </w:tcMar>
            <w:vAlign w:val="center"/>
          </w:tcPr>
          <w:p w14:paraId="4D5956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Overall Response</w:t>
            </w:r>
          </w:p>
        </w:tc>
      </w:tr>
      <w:tr w14:paraId="434FC89C">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2A204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CR</w:t>
            </w:r>
          </w:p>
        </w:tc>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7884C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CR</w:t>
            </w:r>
          </w:p>
        </w:tc>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36413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No</w:t>
            </w:r>
          </w:p>
        </w:tc>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42DF9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CR</w:t>
            </w:r>
          </w:p>
        </w:tc>
      </w:tr>
      <w:tr w14:paraId="7F8AAF09">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2D58F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CR</w:t>
            </w:r>
          </w:p>
        </w:tc>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59A12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Non-CR/Non-PD</w:t>
            </w:r>
          </w:p>
        </w:tc>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76886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No</w:t>
            </w:r>
          </w:p>
        </w:tc>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FA403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PR</w:t>
            </w:r>
          </w:p>
        </w:tc>
      </w:tr>
      <w:tr w14:paraId="7E806926">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1C08D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CR</w:t>
            </w:r>
          </w:p>
        </w:tc>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41624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Not assessed</w:t>
            </w:r>
          </w:p>
        </w:tc>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D272F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No</w:t>
            </w:r>
          </w:p>
        </w:tc>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1F5A4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PR</w:t>
            </w:r>
          </w:p>
        </w:tc>
      </w:tr>
      <w:tr w14:paraId="6C5291DA">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5F54B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PR</w:t>
            </w:r>
          </w:p>
        </w:tc>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DE7A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Non-PD or not fully assessed</w:t>
            </w:r>
          </w:p>
        </w:tc>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F1867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No</w:t>
            </w:r>
          </w:p>
        </w:tc>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A126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PR</w:t>
            </w:r>
          </w:p>
        </w:tc>
      </w:tr>
      <w:tr w14:paraId="2362C86C">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C097F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SD</w:t>
            </w:r>
          </w:p>
        </w:tc>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44505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Non-PD or not fully assessed</w:t>
            </w:r>
          </w:p>
        </w:tc>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E6ED5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No</w:t>
            </w:r>
          </w:p>
        </w:tc>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F783B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SD</w:t>
            </w:r>
          </w:p>
        </w:tc>
      </w:tr>
      <w:tr w14:paraId="609DF183">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A46C7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Not fully assessed</w:t>
            </w:r>
          </w:p>
        </w:tc>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AF703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Non-PD</w:t>
            </w:r>
          </w:p>
        </w:tc>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EDA76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No</w:t>
            </w:r>
          </w:p>
        </w:tc>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31A78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NE</w:t>
            </w:r>
          </w:p>
        </w:tc>
      </w:tr>
      <w:tr w14:paraId="03584242">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7E0A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PD</w:t>
            </w:r>
          </w:p>
        </w:tc>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9E8EC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Any</w:t>
            </w:r>
          </w:p>
        </w:tc>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8EABC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Yes or No</w:t>
            </w:r>
          </w:p>
        </w:tc>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190ED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PD</w:t>
            </w:r>
          </w:p>
        </w:tc>
      </w:tr>
      <w:tr w14:paraId="6193CC26">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4FBBB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Any</w:t>
            </w:r>
          </w:p>
        </w:tc>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E4AAF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PD</w:t>
            </w:r>
          </w:p>
        </w:tc>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FF53D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Yes or No</w:t>
            </w:r>
          </w:p>
        </w:tc>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D43B5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PD</w:t>
            </w:r>
          </w:p>
        </w:tc>
      </w:tr>
      <w:tr w14:paraId="50088DB0">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14987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Any</w:t>
            </w:r>
          </w:p>
        </w:tc>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90618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Any</w:t>
            </w:r>
          </w:p>
        </w:tc>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0AAAC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Yes</w:t>
            </w:r>
          </w:p>
        </w:tc>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97240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PD</w:t>
            </w:r>
          </w:p>
        </w:tc>
      </w:tr>
    </w:tbl>
    <w:p w14:paraId="385A378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Abbreviations: CR = complete response; NE = not evaluable; PD = progressive disease; PR = partial response; SD = stable disease.</w:t>
      </w:r>
    </w:p>
    <w:p w14:paraId="2DEDF766">
      <w:pPr>
        <w:keepNext w:val="0"/>
        <w:keepLines w:val="0"/>
        <w:pageBreakBefore w:val="0"/>
        <w:widowControl w:val="0"/>
        <w:kinsoku/>
        <w:wordWrap/>
        <w:overflowPunct/>
        <w:topLinePunct w:val="0"/>
        <w:autoSpaceDE/>
        <w:autoSpaceDN/>
        <w:bidi w:val="0"/>
        <w:adjustRightInd/>
        <w:snapToGrid/>
        <w:spacing w:line="600" w:lineRule="auto"/>
        <w:ind w:firstLine="561" w:firstLineChars="200"/>
        <w:textAlignment w:val="auto"/>
        <w:rPr>
          <w:rFonts w:hint="default" w:ascii="Times New Roman Bold" w:hAnsi="Times New Roman Bold" w:eastAsia="宋体" w:cs="Times New Roman Bold"/>
          <w:b/>
          <w:bCs/>
          <w:kern w:val="0"/>
          <w:sz w:val="28"/>
          <w:szCs w:val="28"/>
          <w:lang w:val="en-US" w:eastAsia="zh-CN" w:bidi="ar-SA"/>
        </w:rPr>
      </w:pPr>
      <w:bookmarkStart w:id="209" w:name="_Toc2077432522"/>
      <w:r>
        <w:rPr>
          <w:rFonts w:hint="default" w:ascii="Times New Roman Bold" w:hAnsi="Times New Roman Bold" w:eastAsia="宋体" w:cs="Times New Roman Bold"/>
          <w:b/>
          <w:bCs/>
          <w:kern w:val="0"/>
          <w:sz w:val="28"/>
          <w:szCs w:val="28"/>
          <w:lang w:val="en-US" w:eastAsia="zh-CN" w:bidi="ar-SA"/>
        </w:rPr>
        <w:t>Confirmatory Measurements/Duration of Response</w:t>
      </w:r>
      <w:bookmarkEnd w:id="209"/>
    </w:p>
    <w:p w14:paraId="610837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Confirmation: In non-randomized trials where response is the primary endpoint, PR and CR must be confirmed to ensure the findings are not due to measurement error. This also allows appropriate interpretation of results in the context of historical data, where response confirmation has traditionally been required. However, in all other cases (e.g., randomized Phase 2 or 3 trials or trials where SD or PD is the primary endpoint), response confirmation is not required, as it does not enhance the interpretability of the results. Nevertheless, reducing the requirement for response confirmation may increase the need for central review to avoid bias, especially in open-label trials.</w:t>
      </w:r>
    </w:p>
    <w:p w14:paraId="11AD4A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For SD, measurements must meet the SD criteria at least once after a minimum interval (generally ≥ 6 weeks) from trial entry.</w:t>
      </w:r>
    </w:p>
    <w:p w14:paraId="72A57FC2">
      <w:pPr>
        <w:keepNext w:val="0"/>
        <w:keepLines w:val="0"/>
        <w:pageBreakBefore w:val="0"/>
        <w:widowControl w:val="0"/>
        <w:kinsoku/>
        <w:wordWrap/>
        <w:overflowPunct/>
        <w:topLinePunct w:val="0"/>
        <w:autoSpaceDE/>
        <w:autoSpaceDN/>
        <w:bidi w:val="0"/>
        <w:adjustRightInd/>
        <w:snapToGrid/>
        <w:spacing w:line="600" w:lineRule="auto"/>
        <w:ind w:firstLine="561" w:firstLineChars="200"/>
        <w:textAlignment w:val="auto"/>
        <w:rPr>
          <w:rFonts w:hint="default" w:ascii="Times New Roman Bold" w:hAnsi="Times New Roman Bold" w:eastAsia="宋体" w:cs="Times New Roman Bold"/>
          <w:b/>
          <w:bCs/>
          <w:kern w:val="0"/>
          <w:sz w:val="28"/>
          <w:szCs w:val="28"/>
          <w:lang w:val="en-US" w:eastAsia="zh-CN" w:bidi="ar-SA"/>
        </w:rPr>
      </w:pPr>
      <w:bookmarkStart w:id="210" w:name="_Toc1619264328"/>
      <w:r>
        <w:rPr>
          <w:rFonts w:hint="default" w:ascii="Times New Roman Bold" w:hAnsi="Times New Roman Bold" w:eastAsia="宋体" w:cs="Times New Roman Bold"/>
          <w:b/>
          <w:bCs/>
          <w:kern w:val="0"/>
          <w:sz w:val="28"/>
          <w:szCs w:val="28"/>
          <w:lang w:val="en-US" w:eastAsia="zh-CN" w:bidi="ar-SA"/>
        </w:rPr>
        <w:t>Duration of Overall Response</w:t>
      </w:r>
      <w:bookmarkEnd w:id="210"/>
    </w:p>
    <w:p w14:paraId="2F83A1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duration of overall response is measured from the time the CR/PR criteria are first met (whichever is recorded first) until the date of the first objective documentation of recurrent or progressive disease (using the smallest measurements recorded during the study as the reference for progression).</w:t>
      </w:r>
    </w:p>
    <w:p w14:paraId="26AE9138">
      <w:pPr>
        <w:keepNext w:val="0"/>
        <w:keepLines w:val="0"/>
        <w:pageBreakBefore w:val="0"/>
        <w:widowControl w:val="0"/>
        <w:kinsoku/>
        <w:wordWrap/>
        <w:overflowPunct/>
        <w:topLinePunct w:val="0"/>
        <w:autoSpaceDE/>
        <w:autoSpaceDN/>
        <w:bidi w:val="0"/>
        <w:adjustRightInd/>
        <w:snapToGrid/>
        <w:spacing w:line="600" w:lineRule="auto"/>
        <w:ind w:firstLine="561" w:firstLineChars="200"/>
        <w:textAlignment w:val="auto"/>
        <w:rPr>
          <w:rFonts w:hint="default" w:ascii="Times New Roman Bold" w:hAnsi="Times New Roman Bold" w:eastAsia="宋体" w:cs="Times New Roman Bold"/>
          <w:b/>
          <w:bCs/>
          <w:kern w:val="0"/>
          <w:sz w:val="28"/>
          <w:szCs w:val="28"/>
          <w:lang w:val="en-US" w:eastAsia="zh-CN" w:bidi="ar-SA"/>
        </w:rPr>
      </w:pPr>
      <w:bookmarkStart w:id="211" w:name="_Toc2062785912"/>
      <w:r>
        <w:rPr>
          <w:rFonts w:hint="default" w:ascii="Times New Roman Bold" w:hAnsi="Times New Roman Bold" w:eastAsia="宋体" w:cs="Times New Roman Bold"/>
          <w:b/>
          <w:bCs/>
          <w:kern w:val="0"/>
          <w:sz w:val="28"/>
          <w:szCs w:val="28"/>
          <w:lang w:val="en-US" w:eastAsia="zh-CN" w:bidi="ar-SA"/>
        </w:rPr>
        <w:t>Duration of Complete Response</w:t>
      </w:r>
      <w:bookmarkEnd w:id="211"/>
    </w:p>
    <w:p w14:paraId="5B5C26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duration of complete response is measured from the time the CR criteria are first met until the date of the first objective documentation of recurrence.</w:t>
      </w:r>
    </w:p>
    <w:p w14:paraId="019CCE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bookmarkStart w:id="212" w:name="_Toc266825816"/>
      <w:r>
        <w:rPr>
          <w:rFonts w:hint="default" w:ascii="Times New Roman Regular" w:hAnsi="Times New Roman Regular" w:cs="Times New Roman Regular"/>
          <w:sz w:val="24"/>
          <w:szCs w:val="24"/>
        </w:rPr>
        <w:t>Duration of Stable Disease</w:t>
      </w:r>
      <w:bookmarkEnd w:id="212"/>
    </w:p>
    <w:p w14:paraId="64D7CC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Stable disease is measured from the start of treatment (or randomization in randomized trials) until the criteria for progression are met, using the smallest sum recorded during the study as the reference (or the baseline sum if it is the smallest).</w:t>
      </w:r>
    </w:p>
    <w:p w14:paraId="5AC963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clinical relevance of the duration of SD varies across studies and diseases. If the proportion of patients achieving SD for a minimum duration is an important endpoint, the protocol should specify the minimum time interval between two measurements to define SD.</w:t>
      </w:r>
    </w:p>
    <w:p w14:paraId="56A6B6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default" w:ascii="Times New Roman Regular" w:hAnsi="Times New Roman Regular" w:cs="Times New Roman Regular"/>
          <w:sz w:val="24"/>
          <w:szCs w:val="24"/>
        </w:rPr>
        <w:t>Note: The duration of response, duration of SD, and progression-free survival are all influenced by the frequency of follow-up assessments after baseline. Defining a standard follow-up frequency is beyond the scope of this guideline. The frequency should consider multiple parameters, including disease type and stage, treatment schedule, and standard practice. However, when comparing different trials, the limitations on the precision of measured endpoints should be considered.</w:t>
      </w:r>
    </w:p>
    <w:p w14:paraId="36AAC810">
      <w:pPr>
        <w:bidi w:val="0"/>
      </w:pPr>
      <w:r>
        <w:br w:type="page"/>
      </w:r>
    </w:p>
    <w:p w14:paraId="369E7CCF">
      <w:pPr>
        <w:pStyle w:val="4"/>
        <w:spacing w:line="360" w:lineRule="auto"/>
        <w:ind w:firstLineChars="200"/>
        <w:rPr>
          <w:rFonts w:hint="default" w:ascii="Times New Roman" w:hAnsi="Times New Roman"/>
        </w:rPr>
      </w:pPr>
      <w:bookmarkStart w:id="213" w:name="_Toc595634576"/>
      <w:r>
        <w:rPr>
          <w:rFonts w:hint="default" w:ascii="Times New Roman" w:hAnsi="Times New Roman"/>
        </w:rPr>
        <w:t>Appendix 3. Contraception Guidelines and Definitions of "Women of Childbearing Potential" and "Women Not of Childbearing Potential" Contraception Guidelines</w:t>
      </w:r>
      <w:bookmarkEnd w:id="213"/>
    </w:p>
    <w:p w14:paraId="2208CF25">
      <w:pPr>
        <w:pStyle w:val="13"/>
        <w:widowControl/>
        <w:spacing w:beforeAutospacing="0" w:afterAutospacing="0" w:line="360" w:lineRule="auto"/>
        <w:ind w:firstLine="480" w:firstLineChars="200"/>
        <w:jc w:val="both"/>
        <w:rPr>
          <w:rFonts w:ascii="Times New Roman" w:hAnsi="Times New Roman" w:eastAsia="宋体"/>
        </w:rPr>
      </w:pPr>
      <w:r>
        <w:rPr>
          <w:rFonts w:ascii="Times New Roman" w:hAnsi="Times New Roman" w:eastAsia="宋体"/>
        </w:rPr>
        <w:t>Recommendations from the Clinical Trials Facilitation Group (CTFG) regarding contraception and pregnancy testing in clinical trials include the use of highly effective contraceptive methods. These methods include the following:</w:t>
      </w:r>
    </w:p>
    <w:p w14:paraId="286BFC9C">
      <w:pPr>
        <w:widowControl/>
        <w:numPr>
          <w:ilvl w:val="0"/>
          <w:numId w:val="11"/>
        </w:numPr>
        <w:spacing w:line="360" w:lineRule="auto"/>
        <w:ind w:left="0" w:firstLine="480" w:firstLineChars="200"/>
        <w:rPr>
          <w:rFonts w:ascii="Times New Roman" w:hAnsi="Times New Roman" w:eastAsia="宋体" w:cs="Times New Roman"/>
          <w:sz w:val="24"/>
        </w:rPr>
      </w:pPr>
      <w:r>
        <w:rPr>
          <w:rFonts w:ascii="Times New Roman" w:hAnsi="Times New Roman" w:eastAsia="宋体" w:cs="Times New Roman"/>
          <w:sz w:val="24"/>
        </w:rPr>
        <w:t>Combined (estrogen and progestogen) hormonal contraception associated with inhibition of ovulation (oral, intravaginal, or implantable forms).</w:t>
      </w:r>
    </w:p>
    <w:p w14:paraId="3D08EF15">
      <w:pPr>
        <w:widowControl/>
        <w:numPr>
          <w:ilvl w:val="0"/>
          <w:numId w:val="11"/>
        </w:numPr>
        <w:spacing w:line="360" w:lineRule="auto"/>
        <w:ind w:left="0" w:firstLine="480" w:firstLineChars="200"/>
        <w:rPr>
          <w:rFonts w:ascii="Times New Roman" w:hAnsi="Times New Roman" w:eastAsia="宋体" w:cs="Times New Roman"/>
          <w:sz w:val="24"/>
        </w:rPr>
      </w:pPr>
      <w:r>
        <w:rPr>
          <w:rFonts w:ascii="Times New Roman" w:hAnsi="Times New Roman" w:eastAsia="宋体" w:cs="Times New Roman"/>
          <w:sz w:val="24"/>
        </w:rPr>
        <w:t>Progestogen-only hormonal contraception associated with inhibition of ovulation (oral, injectable, or implantable forms).</w:t>
      </w:r>
    </w:p>
    <w:p w14:paraId="26449AB3">
      <w:pPr>
        <w:widowControl/>
        <w:numPr>
          <w:ilvl w:val="0"/>
          <w:numId w:val="11"/>
        </w:numPr>
        <w:spacing w:line="360" w:lineRule="auto"/>
        <w:ind w:left="0" w:firstLine="480" w:firstLineChars="200"/>
        <w:rPr>
          <w:rFonts w:ascii="Times New Roman" w:hAnsi="Times New Roman" w:eastAsia="宋体" w:cs="Times New Roman"/>
          <w:sz w:val="24"/>
        </w:rPr>
      </w:pPr>
      <w:r>
        <w:rPr>
          <w:rFonts w:ascii="Times New Roman" w:hAnsi="Times New Roman" w:eastAsia="宋体" w:cs="Times New Roman"/>
          <w:sz w:val="24"/>
        </w:rPr>
        <w:t>Intrauterine device (IUD).</w:t>
      </w:r>
    </w:p>
    <w:p w14:paraId="781589AB">
      <w:pPr>
        <w:widowControl/>
        <w:numPr>
          <w:ilvl w:val="0"/>
          <w:numId w:val="11"/>
        </w:numPr>
        <w:spacing w:line="360" w:lineRule="auto"/>
        <w:ind w:left="0" w:firstLine="480" w:firstLineChars="200"/>
        <w:rPr>
          <w:rFonts w:ascii="Times New Roman" w:hAnsi="Times New Roman" w:eastAsia="宋体" w:cs="Times New Roman"/>
          <w:sz w:val="24"/>
        </w:rPr>
      </w:pPr>
      <w:r>
        <w:rPr>
          <w:rFonts w:ascii="Times New Roman" w:hAnsi="Times New Roman" w:eastAsia="宋体" w:cs="Times New Roman"/>
          <w:sz w:val="24"/>
        </w:rPr>
        <w:t>Intrauterine hormone-releasing system (IUS).</w:t>
      </w:r>
    </w:p>
    <w:p w14:paraId="760D2BAE">
      <w:pPr>
        <w:widowControl/>
        <w:numPr>
          <w:ilvl w:val="0"/>
          <w:numId w:val="11"/>
        </w:numPr>
        <w:spacing w:line="360" w:lineRule="auto"/>
        <w:ind w:left="0" w:firstLine="480" w:firstLineChars="200"/>
        <w:rPr>
          <w:rFonts w:ascii="Times New Roman" w:hAnsi="Times New Roman" w:eastAsia="宋体" w:cs="Times New Roman"/>
          <w:sz w:val="24"/>
        </w:rPr>
      </w:pPr>
      <w:r>
        <w:rPr>
          <w:rFonts w:ascii="Times New Roman" w:hAnsi="Times New Roman" w:eastAsia="宋体" w:cs="Times New Roman"/>
          <w:sz w:val="24"/>
        </w:rPr>
        <w:t>Bilateral tubal occlusion.</w:t>
      </w:r>
    </w:p>
    <w:p w14:paraId="0300EAA1">
      <w:pPr>
        <w:widowControl/>
        <w:numPr>
          <w:ilvl w:val="0"/>
          <w:numId w:val="11"/>
        </w:numPr>
        <w:spacing w:line="360" w:lineRule="auto"/>
        <w:ind w:left="0" w:firstLine="480" w:firstLineChars="200"/>
        <w:rPr>
          <w:rFonts w:ascii="Times New Roman" w:hAnsi="Times New Roman" w:eastAsia="宋体" w:cs="Times New Roman"/>
          <w:sz w:val="24"/>
        </w:rPr>
      </w:pPr>
      <w:r>
        <w:rPr>
          <w:rFonts w:ascii="Times New Roman" w:hAnsi="Times New Roman" w:eastAsia="宋体" w:cs="Times New Roman"/>
          <w:sz w:val="24"/>
        </w:rPr>
        <w:t>Vasectomized male partner.</w:t>
      </w:r>
    </w:p>
    <w:p w14:paraId="59EC1A0F">
      <w:pPr>
        <w:widowControl/>
        <w:numPr>
          <w:ilvl w:val="0"/>
          <w:numId w:val="11"/>
        </w:numPr>
        <w:spacing w:line="360" w:lineRule="auto"/>
        <w:ind w:left="0" w:firstLine="480" w:firstLineChars="200"/>
        <w:rPr>
          <w:rFonts w:ascii="Times New Roman" w:hAnsi="Times New Roman" w:eastAsia="宋体" w:cs="Times New Roman"/>
          <w:sz w:val="24"/>
        </w:rPr>
      </w:pPr>
      <w:r>
        <w:rPr>
          <w:rFonts w:ascii="Times New Roman" w:hAnsi="Times New Roman" w:eastAsia="宋体" w:cs="Times New Roman"/>
          <w:sz w:val="24"/>
        </w:rPr>
        <w:t>Abstinence (defined as refraining from heterosexual intercourse during the entire period of drug exposure related to the study treatment).</w:t>
      </w:r>
    </w:p>
    <w:p w14:paraId="1440D4ED">
      <w:pPr>
        <w:pStyle w:val="13"/>
        <w:widowControl/>
        <w:spacing w:beforeAutospacing="0" w:afterAutospacing="0" w:line="360" w:lineRule="auto"/>
        <w:ind w:firstLine="480" w:firstLineChars="200"/>
        <w:jc w:val="both"/>
        <w:rPr>
          <w:rFonts w:ascii="Times New Roman" w:hAnsi="Times New Roman" w:eastAsia="宋体"/>
        </w:rPr>
      </w:pPr>
      <w:r>
        <w:rPr>
          <w:rStyle w:val="17"/>
          <w:rFonts w:ascii="Times New Roman" w:hAnsi="Times New Roman" w:eastAsia="宋体"/>
        </w:rPr>
        <w:t>Note:</w:t>
      </w:r>
      <w:r>
        <w:rPr>
          <w:rFonts w:ascii="Times New Roman" w:hAnsi="Times New Roman" w:eastAsia="宋体"/>
        </w:rPr>
        <w:t xml:space="preserve"> Complete abstinence is acceptable only if it aligns with the patient's usual and preferred lifestyle. Periodic abstinence (e.g., calendar, ovulation, symptothermal, or post-ovulation methods), declaration of abstinence during the study drug exposure period, and withdrawal are not acceptable methods of contraception.</w:t>
      </w:r>
    </w:p>
    <w:p w14:paraId="0B4039DE">
      <w:pPr>
        <w:pStyle w:val="13"/>
        <w:widowControl/>
        <w:spacing w:beforeAutospacing="0" w:afterAutospacing="0" w:line="360" w:lineRule="auto"/>
        <w:ind w:firstLine="480" w:firstLineChars="200"/>
        <w:jc w:val="both"/>
        <w:rPr>
          <w:rFonts w:ascii="Times New Roman" w:hAnsi="Times New Roman" w:eastAsia="宋体"/>
        </w:rPr>
      </w:pPr>
      <w:r>
        <w:rPr>
          <w:rFonts w:ascii="Times New Roman" w:hAnsi="Times New Roman" w:eastAsia="宋体"/>
        </w:rPr>
        <w:t>Barrier methods of contraception (including male and female condoms with or without spermicide) are not considered highly effective and, if used, must be combined with another acceptable method listed above.</w:t>
      </w:r>
    </w:p>
    <w:p w14:paraId="370DBABE">
      <w:pPr>
        <w:pStyle w:val="4"/>
        <w:spacing w:line="360" w:lineRule="auto"/>
        <w:ind w:firstLineChars="200"/>
        <w:rPr>
          <w:rFonts w:hint="default" w:ascii="Times New Roman" w:hAnsi="Times New Roman"/>
        </w:rPr>
      </w:pPr>
      <w:bookmarkStart w:id="214" w:name="_Toc1409040165"/>
      <w:r>
        <w:rPr>
          <w:rFonts w:hint="default" w:ascii="Times New Roman" w:hAnsi="Times New Roman"/>
        </w:rPr>
        <w:t>Definitions of "Women of Childbearing Potential" and "Women Not of Childbearing Potential"</w:t>
      </w:r>
      <w:bookmarkEnd w:id="214"/>
    </w:p>
    <w:p w14:paraId="13FBE9C6">
      <w:pPr>
        <w:pStyle w:val="13"/>
        <w:widowControl/>
        <w:spacing w:beforeAutospacing="0" w:afterAutospacing="0" w:line="360" w:lineRule="auto"/>
        <w:ind w:firstLine="480" w:firstLineChars="200"/>
        <w:jc w:val="both"/>
        <w:rPr>
          <w:rFonts w:ascii="Times New Roman" w:hAnsi="Times New Roman" w:eastAsia="宋体"/>
        </w:rPr>
      </w:pPr>
      <w:r>
        <w:rPr>
          <w:rFonts w:ascii="Times New Roman" w:hAnsi="Times New Roman" w:eastAsia="宋体"/>
        </w:rPr>
        <w:t>In this protocol, "women of childbearing potential" refers to female patients who are physiologically capable of becoming pregnant.</w:t>
      </w:r>
    </w:p>
    <w:p w14:paraId="2D5E9964">
      <w:pPr>
        <w:pStyle w:val="13"/>
        <w:widowControl/>
        <w:spacing w:beforeAutospacing="0" w:afterAutospacing="0" w:line="360" w:lineRule="auto"/>
        <w:ind w:firstLine="480" w:firstLineChars="200"/>
        <w:jc w:val="both"/>
        <w:rPr>
          <w:rFonts w:ascii="Times New Roman" w:hAnsi="Times New Roman" w:eastAsia="宋体"/>
        </w:rPr>
      </w:pPr>
      <w:r>
        <w:rPr>
          <w:rFonts w:ascii="Times New Roman" w:hAnsi="Times New Roman" w:eastAsia="宋体"/>
        </w:rPr>
        <w:t>Conversely, "women not of childbearing potential" refers to female patients who meet the following criteria:</w:t>
      </w:r>
    </w:p>
    <w:p w14:paraId="46ADE002">
      <w:pPr>
        <w:widowControl/>
        <w:numPr>
          <w:ilvl w:val="0"/>
          <w:numId w:val="12"/>
        </w:numPr>
        <w:spacing w:line="360" w:lineRule="auto"/>
        <w:ind w:left="0" w:firstLine="480" w:firstLineChars="200"/>
        <w:rPr>
          <w:rFonts w:ascii="Times New Roman" w:hAnsi="Times New Roman" w:eastAsia="宋体" w:cs="Times New Roman"/>
          <w:sz w:val="24"/>
        </w:rPr>
      </w:pPr>
      <w:r>
        <w:rPr>
          <w:rFonts w:ascii="Times New Roman" w:hAnsi="Times New Roman" w:eastAsia="宋体" w:cs="Times New Roman"/>
          <w:sz w:val="24"/>
        </w:rPr>
        <w:t>Surgically sterilized (i.e., bilateral tubal ligation, bilateral oophorectomy, or hysterectomy).</w:t>
      </w:r>
    </w:p>
    <w:p w14:paraId="45BF05CD">
      <w:pPr>
        <w:widowControl/>
        <w:numPr>
          <w:ilvl w:val="0"/>
          <w:numId w:val="12"/>
        </w:numPr>
        <w:spacing w:line="360" w:lineRule="auto"/>
        <w:ind w:left="0" w:firstLine="480" w:firstLineChars="200"/>
        <w:rPr>
          <w:rFonts w:ascii="Times New Roman" w:hAnsi="Times New Roman" w:eastAsia="宋体" w:cs="Times New Roman"/>
          <w:sz w:val="24"/>
        </w:rPr>
      </w:pPr>
      <w:r>
        <w:rPr>
          <w:rFonts w:ascii="Times New Roman" w:hAnsi="Times New Roman" w:eastAsia="宋体" w:cs="Times New Roman"/>
          <w:sz w:val="24"/>
        </w:rPr>
        <w:t xml:space="preserve">Postmenopausal, defined as: </w:t>
      </w:r>
    </w:p>
    <w:p w14:paraId="1C7F20FE">
      <w:pPr>
        <w:widowControl/>
        <w:numPr>
          <w:ilvl w:val="1"/>
          <w:numId w:val="12"/>
        </w:numPr>
        <w:spacing w:line="360" w:lineRule="auto"/>
        <w:ind w:left="0" w:firstLine="480" w:firstLineChars="200"/>
        <w:rPr>
          <w:rFonts w:ascii="Times New Roman" w:hAnsi="Times New Roman" w:eastAsia="宋体" w:cs="Times New Roman"/>
          <w:sz w:val="24"/>
        </w:rPr>
      </w:pPr>
      <w:r>
        <w:rPr>
          <w:rFonts w:ascii="Times New Roman" w:hAnsi="Times New Roman" w:eastAsia="宋体" w:cs="Times New Roman"/>
          <w:sz w:val="24"/>
        </w:rPr>
        <w:t>≥55 years of age with no spontaneous menses for ≥12 months.</w:t>
      </w:r>
    </w:p>
    <w:p w14:paraId="219988A2">
      <w:pPr>
        <w:widowControl/>
        <w:numPr>
          <w:ilvl w:val="1"/>
          <w:numId w:val="12"/>
        </w:numPr>
        <w:spacing w:line="360" w:lineRule="auto"/>
        <w:ind w:left="0" w:firstLine="480" w:firstLineChars="200"/>
        <w:rPr>
          <w:rFonts w:ascii="Times New Roman" w:hAnsi="Times New Roman" w:eastAsia="宋体" w:cs="Times New Roman"/>
          <w:sz w:val="24"/>
        </w:rPr>
      </w:pPr>
      <w:r>
        <w:rPr>
          <w:rFonts w:ascii="Times New Roman" w:hAnsi="Times New Roman" w:eastAsia="宋体" w:cs="Times New Roman"/>
          <w:sz w:val="24"/>
        </w:rPr>
        <w:t>30 IU/mL.</w:t>
      </w:r>
    </w:p>
    <w:p w14:paraId="6F060DD5">
      <w:pPr>
        <w:pStyle w:val="13"/>
        <w:widowControl/>
        <w:spacing w:beforeAutospacing="0" w:afterAutospacing="0" w:line="360" w:lineRule="auto"/>
        <w:ind w:firstLine="480" w:firstLineChars="200"/>
        <w:jc w:val="both"/>
        <w:rPr>
          <w:rFonts w:ascii="Times New Roman" w:hAnsi="Times New Roman" w:eastAsia="宋体"/>
        </w:rPr>
      </w:pPr>
      <w:r>
        <w:rPr>
          <w:rFonts w:ascii="Times New Roman" w:hAnsi="Times New Roman" w:eastAsia="宋体"/>
        </w:rPr>
        <w:t xml:space="preserve">Source: Clinical Trials Facilitation Group (CTFG). Recommendations related to contraception and pregnancy testing in clinical trials. September 15, 2014. </w:t>
      </w:r>
    </w:p>
    <w:p w14:paraId="30A1E2F0">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br w:type="page"/>
      </w:r>
    </w:p>
    <w:p w14:paraId="4C35A288">
      <w:pPr>
        <w:pStyle w:val="4"/>
        <w:spacing w:line="360" w:lineRule="auto"/>
        <w:ind w:firstLineChars="200"/>
        <w:rPr>
          <w:rFonts w:hint="default" w:ascii="Times New Roman" w:hAnsi="Times New Roman"/>
        </w:rPr>
      </w:pPr>
      <w:bookmarkStart w:id="215" w:name="_Toc1435877686"/>
      <w:r>
        <w:rPr>
          <w:rFonts w:hint="default" w:ascii="Times New Roman" w:hAnsi="Times New Roman"/>
        </w:rPr>
        <w:t>Appendix 4. Evaluation and Management of Immune-Related Adverse Events</w:t>
      </w:r>
      <w:bookmarkEnd w:id="215"/>
    </w:p>
    <w:p w14:paraId="7B6B3BEB">
      <w:pPr>
        <w:pStyle w:val="13"/>
        <w:widowControl/>
        <w:spacing w:beforeAutospacing="0" w:afterAutospacing="0" w:line="360" w:lineRule="auto"/>
        <w:ind w:firstLine="480" w:firstLineChars="200"/>
        <w:jc w:val="both"/>
        <w:rPr>
          <w:rFonts w:ascii="Times New Roman" w:hAnsi="Times New Roman" w:eastAsia="宋体"/>
        </w:rPr>
      </w:pPr>
      <w:r>
        <w:rPr>
          <w:rFonts w:ascii="Times New Roman" w:hAnsi="Times New Roman" w:eastAsia="宋体"/>
        </w:rPr>
        <w:t>The following recommendations for the diagnosis and management of any irAE are intended as guidance only. This document should be used in conjunction with the clinical judgment of a specialist (a physician experienced in the use of immune-modulating drugs for cancer treatment) and the individual institutional guidelines or policies.</w:t>
      </w:r>
    </w:p>
    <w:p w14:paraId="51D3E446">
      <w:pPr>
        <w:pStyle w:val="13"/>
        <w:widowControl/>
        <w:spacing w:beforeAutospacing="0" w:afterAutospacing="0" w:line="360" w:lineRule="auto"/>
        <w:ind w:firstLine="480" w:firstLineChars="200"/>
        <w:jc w:val="both"/>
        <w:rPr>
          <w:rFonts w:ascii="Times New Roman" w:hAnsi="Times New Roman" w:eastAsia="宋体"/>
        </w:rPr>
      </w:pPr>
      <w:r>
        <w:rPr>
          <w:rFonts w:ascii="Times New Roman" w:hAnsi="Times New Roman" w:eastAsia="宋体"/>
        </w:rPr>
        <w:t>Criteria for diagnosing irAEs include blood tests, diagnostic imaging, and histopathological or microbiological assessments to exclude other causes such as infection, disease progression, and adverse reactions to concomitant medications. In addition to the results of these tests, the following factors should be considered when diagnosing an irAE:</w:t>
      </w:r>
    </w:p>
    <w:p w14:paraId="02F363FE">
      <w:pPr>
        <w:widowControl/>
        <w:numPr>
          <w:ilvl w:val="0"/>
          <w:numId w:val="13"/>
        </w:numPr>
        <w:spacing w:line="360" w:lineRule="auto"/>
        <w:ind w:left="0" w:firstLine="480" w:firstLineChars="200"/>
        <w:rPr>
          <w:rFonts w:ascii="Times New Roman" w:hAnsi="Times New Roman" w:eastAsia="宋体" w:cs="Times New Roman"/>
          <w:sz w:val="24"/>
        </w:rPr>
      </w:pPr>
      <w:r>
        <w:rPr>
          <w:rFonts w:ascii="Times New Roman" w:hAnsi="Times New Roman" w:eastAsia="宋体" w:cs="Times New Roman"/>
          <w:sz w:val="24"/>
        </w:rPr>
        <w:t xml:space="preserve">Is there a temporal relationship between the administration of </w:t>
      </w:r>
      <w:r>
        <w:rPr>
          <w:rFonts w:ascii="Times New Roman" w:hAnsi="Times New Roman" w:eastAsia="宋体" w:cs="Times New Roman"/>
          <w:sz w:val="24"/>
          <w:lang w:val="en-US"/>
        </w:rPr>
        <w:t>Cadonilimab</w:t>
      </w:r>
      <w:r>
        <w:rPr>
          <w:rFonts w:ascii="Times New Roman" w:hAnsi="Times New Roman" w:eastAsia="宋体" w:cs="Times New Roman"/>
          <w:sz w:val="24"/>
        </w:rPr>
        <w:t xml:space="preserve"> (AK104) and the adverse event?</w:t>
      </w:r>
    </w:p>
    <w:p w14:paraId="11DCB4CF">
      <w:pPr>
        <w:widowControl/>
        <w:numPr>
          <w:ilvl w:val="0"/>
          <w:numId w:val="13"/>
        </w:numPr>
        <w:spacing w:line="360" w:lineRule="auto"/>
        <w:ind w:left="0" w:firstLine="480" w:firstLineChars="200"/>
        <w:rPr>
          <w:rFonts w:ascii="Times New Roman" w:hAnsi="Times New Roman" w:eastAsia="宋体" w:cs="Times New Roman"/>
          <w:sz w:val="24"/>
        </w:rPr>
      </w:pPr>
      <w:r>
        <w:rPr>
          <w:rFonts w:ascii="Times New Roman" w:hAnsi="Times New Roman" w:eastAsia="宋体" w:cs="Times New Roman"/>
          <w:sz w:val="24"/>
        </w:rPr>
        <w:t xml:space="preserve">How did the patient respond after discontinuation of </w:t>
      </w:r>
      <w:r>
        <w:rPr>
          <w:rFonts w:ascii="Times New Roman" w:hAnsi="Times New Roman" w:eastAsia="宋体" w:cs="Times New Roman"/>
          <w:sz w:val="24"/>
          <w:lang w:val="en-US"/>
        </w:rPr>
        <w:t>Cadonilimab</w:t>
      </w:r>
      <w:r>
        <w:rPr>
          <w:rFonts w:ascii="Times New Roman" w:hAnsi="Times New Roman" w:eastAsia="宋体" w:cs="Times New Roman"/>
          <w:sz w:val="24"/>
        </w:rPr>
        <w:t xml:space="preserve"> (AK104)?</w:t>
      </w:r>
    </w:p>
    <w:p w14:paraId="6B5A3163">
      <w:pPr>
        <w:widowControl/>
        <w:numPr>
          <w:ilvl w:val="0"/>
          <w:numId w:val="13"/>
        </w:numPr>
        <w:spacing w:line="360" w:lineRule="auto"/>
        <w:ind w:left="0" w:firstLine="480" w:firstLineChars="200"/>
        <w:rPr>
          <w:rFonts w:ascii="Times New Roman" w:hAnsi="Times New Roman" w:eastAsia="宋体" w:cs="Times New Roman"/>
          <w:sz w:val="24"/>
        </w:rPr>
      </w:pPr>
      <w:r>
        <w:rPr>
          <w:rFonts w:ascii="Times New Roman" w:hAnsi="Times New Roman" w:eastAsia="宋体" w:cs="Times New Roman"/>
          <w:sz w:val="24"/>
        </w:rPr>
        <w:t xml:space="preserve">Did the event recur upon resumption of </w:t>
      </w:r>
      <w:r>
        <w:rPr>
          <w:rFonts w:ascii="Times New Roman" w:hAnsi="Times New Roman" w:eastAsia="宋体" w:cs="Times New Roman"/>
          <w:sz w:val="24"/>
          <w:lang w:val="en-US"/>
        </w:rPr>
        <w:t>Cadonilimab</w:t>
      </w:r>
      <w:r>
        <w:rPr>
          <w:rFonts w:ascii="Times New Roman" w:hAnsi="Times New Roman" w:eastAsia="宋体" w:cs="Times New Roman"/>
          <w:sz w:val="24"/>
        </w:rPr>
        <w:t xml:space="preserve"> (AK104) therapy?</w:t>
      </w:r>
    </w:p>
    <w:p w14:paraId="1845F555">
      <w:pPr>
        <w:widowControl/>
        <w:numPr>
          <w:ilvl w:val="0"/>
          <w:numId w:val="13"/>
        </w:numPr>
        <w:spacing w:line="360" w:lineRule="auto"/>
        <w:ind w:left="0" w:firstLine="480" w:firstLineChars="200"/>
        <w:rPr>
          <w:rFonts w:ascii="Times New Roman" w:hAnsi="Times New Roman" w:eastAsia="宋体" w:cs="Times New Roman"/>
          <w:sz w:val="24"/>
        </w:rPr>
      </w:pPr>
      <w:r>
        <w:rPr>
          <w:rFonts w:ascii="Times New Roman" w:hAnsi="Times New Roman" w:eastAsia="宋体" w:cs="Times New Roman"/>
          <w:sz w:val="24"/>
        </w:rPr>
        <w:t>Did corticosteroid treatment result in clinical improvement?</w:t>
      </w:r>
    </w:p>
    <w:p w14:paraId="461C27EF">
      <w:pPr>
        <w:widowControl/>
        <w:numPr>
          <w:ilvl w:val="0"/>
          <w:numId w:val="13"/>
        </w:numPr>
        <w:spacing w:line="360" w:lineRule="auto"/>
        <w:ind w:left="0" w:firstLine="480" w:firstLineChars="200"/>
        <w:rPr>
          <w:rFonts w:ascii="Times New Roman" w:hAnsi="Times New Roman" w:eastAsia="宋体" w:cs="Times New Roman"/>
          <w:sz w:val="24"/>
        </w:rPr>
      </w:pPr>
      <w:r>
        <w:rPr>
          <w:rFonts w:ascii="Times New Roman" w:hAnsi="Times New Roman" w:eastAsia="宋体" w:cs="Times New Roman"/>
          <w:sz w:val="24"/>
        </w:rPr>
        <w:t>Is the event an autoimmune endocrine disorder?</w:t>
      </w:r>
    </w:p>
    <w:p w14:paraId="430E2323">
      <w:pPr>
        <w:widowControl/>
        <w:numPr>
          <w:ilvl w:val="0"/>
          <w:numId w:val="13"/>
        </w:numPr>
        <w:spacing w:line="360" w:lineRule="auto"/>
        <w:ind w:left="0" w:firstLine="480" w:firstLineChars="200"/>
        <w:rPr>
          <w:rFonts w:ascii="Times New Roman" w:hAnsi="Times New Roman" w:eastAsia="宋体" w:cs="Times New Roman"/>
          <w:sz w:val="24"/>
        </w:rPr>
      </w:pPr>
      <w:r>
        <w:rPr>
          <w:rFonts w:ascii="Times New Roman" w:hAnsi="Times New Roman" w:eastAsia="宋体" w:cs="Times New Roman"/>
          <w:sz w:val="24"/>
        </w:rPr>
        <w:t>Is disease progression or another diagnosis a more likely cause?</w:t>
      </w:r>
    </w:p>
    <w:p w14:paraId="1F002FAE">
      <w:pPr>
        <w:pStyle w:val="13"/>
        <w:widowControl/>
        <w:spacing w:beforeAutospacing="0" w:afterAutospacing="0" w:line="360" w:lineRule="auto"/>
        <w:ind w:firstLine="480" w:firstLineChars="200"/>
        <w:jc w:val="both"/>
        <w:rPr>
          <w:rFonts w:ascii="Times New Roman" w:hAnsi="Times New Roman" w:eastAsia="宋体"/>
        </w:rPr>
      </w:pPr>
      <w:r>
        <w:rPr>
          <w:rFonts w:ascii="Times New Roman" w:hAnsi="Times New Roman" w:eastAsia="宋体"/>
        </w:rPr>
        <w:t>After excluding other explanations for autoimmune toxicity, check the irAE box for the AE in the eCRF.</w:t>
      </w:r>
    </w:p>
    <w:p w14:paraId="3F915436">
      <w:pPr>
        <w:bidi w:val="0"/>
        <w:jc w:val="center"/>
        <w:rPr>
          <w:rFonts w:hint="default"/>
        </w:rPr>
      </w:pPr>
      <w:bookmarkStart w:id="216" w:name="_Toc1522527263"/>
      <w:bookmarkStart w:id="217" w:name="_Toc1953870453"/>
      <w:r>
        <w:rPr>
          <w:rFonts w:hint="default"/>
        </w:rPr>
        <w:t>Diagnostic Workup for Potential Immune-Related Adverse Events</w:t>
      </w:r>
      <w:bookmarkEnd w:id="216"/>
      <w:bookmarkEnd w:id="217"/>
    </w:p>
    <w:tbl>
      <w:tblPr>
        <w:tblStyle w:val="15"/>
        <w:tblW w:w="5000" w:type="pct"/>
        <w:tblInd w:w="0" w:type="dxa"/>
        <w:tblLayout w:type="autofit"/>
        <w:tblCellMar>
          <w:top w:w="0" w:type="dxa"/>
          <w:left w:w="108" w:type="dxa"/>
          <w:bottom w:w="0" w:type="dxa"/>
          <w:right w:w="108" w:type="dxa"/>
        </w:tblCellMar>
      </w:tblPr>
      <w:tblGrid>
        <w:gridCol w:w="1859"/>
        <w:gridCol w:w="6687"/>
      </w:tblGrid>
      <w:tr w14:paraId="75212480">
        <w:tc>
          <w:tcPr>
            <w:tcW w:w="0" w:type="auto"/>
            <w:tcBorders>
              <w:top w:val="single" w:color="000000" w:sz="6" w:space="0"/>
              <w:left w:val="single" w:color="000000" w:sz="6" w:space="0"/>
              <w:bottom w:val="single" w:color="000000" w:sz="6" w:space="0"/>
              <w:right w:val="single" w:color="000000" w:sz="6" w:space="0"/>
            </w:tcBorders>
            <w:shd w:val="clear" w:color="auto" w:fill="F2F2F2"/>
            <w:tcMar>
              <w:top w:w="120" w:type="dxa"/>
              <w:left w:w="120" w:type="dxa"/>
              <w:bottom w:w="120" w:type="dxa"/>
              <w:right w:w="120" w:type="dxa"/>
            </w:tcMar>
            <w:vAlign w:val="center"/>
          </w:tcPr>
          <w:p w14:paraId="29547A73">
            <w:pPr>
              <w:widowControl/>
              <w:spacing w:before="300" w:after="300" w:line="360" w:lineRule="auto"/>
              <w:jc w:val="left"/>
              <w:rPr>
                <w:rFonts w:ascii="Times New Roman" w:hAnsi="Times New Roman" w:cs="Times New Roman"/>
                <w:b/>
                <w:bCs/>
                <w:szCs w:val="21"/>
              </w:rPr>
            </w:pPr>
            <w:r>
              <w:rPr>
                <w:rFonts w:ascii="Times New Roman" w:hAnsi="Times New Roman" w:eastAsia="宋体" w:cs="Times New Roman"/>
                <w:b/>
                <w:bCs/>
                <w:kern w:val="0"/>
                <w:szCs w:val="21"/>
                <w:lang w:bidi="ar"/>
              </w:rPr>
              <w:t>Immune-Related Toxicity</w:t>
            </w:r>
          </w:p>
        </w:tc>
        <w:tc>
          <w:tcPr>
            <w:tcW w:w="0" w:type="auto"/>
            <w:tcBorders>
              <w:top w:val="single" w:color="000000" w:sz="6" w:space="0"/>
              <w:left w:val="single" w:color="000000" w:sz="6" w:space="0"/>
              <w:bottom w:val="single" w:color="000000" w:sz="6" w:space="0"/>
              <w:right w:val="single" w:color="000000" w:sz="6" w:space="0"/>
            </w:tcBorders>
            <w:shd w:val="clear" w:color="auto" w:fill="F2F2F2"/>
            <w:tcMar>
              <w:top w:w="120" w:type="dxa"/>
              <w:left w:w="120" w:type="dxa"/>
              <w:bottom w:w="120" w:type="dxa"/>
              <w:right w:w="120" w:type="dxa"/>
            </w:tcMar>
            <w:vAlign w:val="center"/>
          </w:tcPr>
          <w:p w14:paraId="51A9E250">
            <w:pPr>
              <w:widowControl/>
              <w:spacing w:before="300" w:after="300" w:line="360" w:lineRule="auto"/>
              <w:jc w:val="left"/>
              <w:rPr>
                <w:rFonts w:ascii="Times New Roman" w:hAnsi="Times New Roman" w:cs="Times New Roman"/>
                <w:b/>
                <w:bCs/>
                <w:szCs w:val="21"/>
              </w:rPr>
            </w:pPr>
            <w:r>
              <w:rPr>
                <w:rFonts w:ascii="Times New Roman" w:hAnsi="Times New Roman" w:eastAsia="宋体" w:cs="Times New Roman"/>
                <w:b/>
                <w:bCs/>
                <w:kern w:val="0"/>
                <w:szCs w:val="21"/>
                <w:lang w:bidi="ar"/>
              </w:rPr>
              <w:t>Diagnostic Evaluation Guidelines</w:t>
            </w:r>
          </w:p>
        </w:tc>
      </w:tr>
      <w:tr w14:paraId="065E44FD">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AEE9021">
            <w:pPr>
              <w:widowControl/>
              <w:spacing w:before="300" w:after="300" w:line="360" w:lineRule="auto"/>
              <w:jc w:val="left"/>
              <w:rPr>
                <w:rFonts w:ascii="Times New Roman" w:hAnsi="Times New Roman" w:cs="Times New Roman"/>
                <w:szCs w:val="21"/>
              </w:rPr>
            </w:pPr>
            <w:r>
              <w:rPr>
                <w:rFonts w:ascii="Times New Roman" w:hAnsi="Times New Roman" w:eastAsia="宋体" w:cs="Times New Roman"/>
                <w:kern w:val="0"/>
                <w:szCs w:val="21"/>
                <w:lang w:bidi="ar"/>
              </w:rPr>
              <w:t>Thyroid Disorders</w:t>
            </w:r>
          </w:p>
        </w:tc>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A4AA081">
            <w:pPr>
              <w:widowControl/>
              <w:spacing w:before="300" w:after="300" w:line="360" w:lineRule="auto"/>
              <w:jc w:val="left"/>
              <w:rPr>
                <w:rFonts w:ascii="Times New Roman" w:hAnsi="Times New Roman" w:cs="Times New Roman"/>
                <w:szCs w:val="21"/>
              </w:rPr>
            </w:pPr>
            <w:r>
              <w:rPr>
                <w:rFonts w:ascii="Times New Roman" w:hAnsi="Times New Roman" w:eastAsia="宋体" w:cs="Times New Roman"/>
                <w:kern w:val="0"/>
                <w:szCs w:val="21"/>
                <w:lang w:bidi="ar"/>
              </w:rPr>
              <w:t>Schedule and repeat thyroid function tests (TSH and T4).</w:t>
            </w:r>
          </w:p>
        </w:tc>
      </w:tr>
      <w:tr w14:paraId="6599C5F8">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D0F1182">
            <w:pPr>
              <w:widowControl/>
              <w:spacing w:before="300" w:after="300" w:line="360" w:lineRule="auto"/>
              <w:jc w:val="left"/>
              <w:rPr>
                <w:rFonts w:ascii="Times New Roman" w:hAnsi="Times New Roman" w:cs="Times New Roman"/>
                <w:szCs w:val="21"/>
              </w:rPr>
            </w:pPr>
            <w:r>
              <w:rPr>
                <w:rFonts w:ascii="Times New Roman" w:hAnsi="Times New Roman" w:eastAsia="宋体" w:cs="Times New Roman"/>
                <w:kern w:val="0"/>
                <w:szCs w:val="21"/>
                <w:lang w:bidi="ar"/>
              </w:rPr>
              <w:t>Hypophysitis</w:t>
            </w:r>
          </w:p>
        </w:tc>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F901BAE">
            <w:pPr>
              <w:widowControl/>
              <w:spacing w:before="300" w:after="300" w:line="360" w:lineRule="auto"/>
              <w:jc w:val="left"/>
              <w:rPr>
                <w:rFonts w:ascii="Times New Roman" w:hAnsi="Times New Roman" w:cs="Times New Roman"/>
                <w:szCs w:val="21"/>
              </w:rPr>
            </w:pPr>
            <w:r>
              <w:rPr>
                <w:rFonts w:ascii="Times New Roman" w:hAnsi="Times New Roman" w:eastAsia="宋体" w:cs="Times New Roman"/>
                <w:kern w:val="0"/>
                <w:szCs w:val="21"/>
                <w:lang w:bidi="ar"/>
              </w:rPr>
              <w:t>Examine visual fields and consider pituitary endocrine axis blood tests. Patients presenting with headaches, visual disturbances, unexplained fatigue, weakness, weight loss, or unexplained systemic symptoms should undergo pituitary and whole-brain MRI. If abnormalities are detected, consult an endocrinologist.</w:t>
            </w:r>
          </w:p>
        </w:tc>
      </w:tr>
      <w:tr w14:paraId="3BD492F0">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F8ADDD9">
            <w:pPr>
              <w:widowControl/>
              <w:spacing w:before="300" w:after="300" w:line="360" w:lineRule="auto"/>
              <w:jc w:val="left"/>
              <w:rPr>
                <w:rFonts w:ascii="Times New Roman" w:hAnsi="Times New Roman" w:cs="Times New Roman"/>
                <w:szCs w:val="21"/>
              </w:rPr>
            </w:pPr>
            <w:r>
              <w:rPr>
                <w:rFonts w:ascii="Times New Roman" w:hAnsi="Times New Roman" w:eastAsia="宋体" w:cs="Times New Roman"/>
                <w:kern w:val="0"/>
                <w:szCs w:val="21"/>
                <w:lang w:bidi="ar"/>
              </w:rPr>
              <w:t>Non-Infectious Pneumonitis</w:t>
            </w:r>
          </w:p>
        </w:tc>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7DEC7E7">
            <w:pPr>
              <w:widowControl/>
              <w:spacing w:before="300" w:after="300" w:line="360" w:lineRule="auto"/>
              <w:jc w:val="left"/>
              <w:rPr>
                <w:rFonts w:ascii="Times New Roman" w:hAnsi="Times New Roman" w:cs="Times New Roman"/>
                <w:szCs w:val="21"/>
              </w:rPr>
            </w:pPr>
            <w:r>
              <w:rPr>
                <w:rFonts w:ascii="Times New Roman" w:hAnsi="Times New Roman" w:eastAsia="宋体" w:cs="Times New Roman"/>
                <w:kern w:val="0"/>
                <w:szCs w:val="21"/>
                <w:lang w:bidi="ar"/>
              </w:rPr>
              <w:t>All patients with new or worsening pulmonary symptoms or signs (e.g., upper respiratory infection, new cough, dyspnea, or hypoxia) should be evaluated with high-resolution CT. Consider pulmonary function tests, including DLCO. Radiological findings are often non-specific. Depending on the location of abnormalities, bronchoscopy with bronchoalveolar lavage or lung biopsy may be considered. If the cause remains unclear, consult a pulmonologist.</w:t>
            </w:r>
          </w:p>
        </w:tc>
      </w:tr>
      <w:tr w14:paraId="1E18554F">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C8FAFC3">
            <w:pPr>
              <w:widowControl/>
              <w:spacing w:before="300" w:after="300" w:line="360" w:lineRule="auto"/>
              <w:jc w:val="left"/>
              <w:rPr>
                <w:rFonts w:ascii="Times New Roman" w:hAnsi="Times New Roman" w:cs="Times New Roman"/>
                <w:szCs w:val="21"/>
              </w:rPr>
            </w:pPr>
            <w:r>
              <w:rPr>
                <w:rFonts w:ascii="Times New Roman" w:hAnsi="Times New Roman" w:eastAsia="宋体" w:cs="Times New Roman"/>
                <w:kern w:val="0"/>
                <w:szCs w:val="21"/>
                <w:lang w:bidi="ar"/>
              </w:rPr>
              <w:t>Neurotoxicity</w:t>
            </w:r>
          </w:p>
        </w:tc>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CC06C8D">
            <w:pPr>
              <w:widowControl/>
              <w:spacing w:before="300" w:after="300" w:line="360" w:lineRule="auto"/>
              <w:jc w:val="left"/>
              <w:rPr>
                <w:rFonts w:ascii="Times New Roman" w:hAnsi="Times New Roman" w:cs="Times New Roman"/>
                <w:szCs w:val="21"/>
              </w:rPr>
            </w:pPr>
            <w:r>
              <w:rPr>
                <w:rFonts w:ascii="Times New Roman" w:hAnsi="Times New Roman" w:eastAsia="宋体" w:cs="Times New Roman"/>
                <w:kern w:val="0"/>
                <w:szCs w:val="21"/>
                <w:lang w:bidi="ar"/>
              </w:rPr>
              <w:t>Perform a comprehensive neurological examination and brain MRI for all CNS symptoms. Review alcohol history and other medications. Screen for diabetes and assess blood levels of B12/folate, HIV status, TFTs, and consider autoimmune serology. For peripheral neuropathy, consider brain/spine MRI/MRA and nerve conduction studies. Consult a neurologist if abnormal findings are detected.</w:t>
            </w:r>
          </w:p>
        </w:tc>
      </w:tr>
      <w:tr w14:paraId="01FC1774">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EC64708">
            <w:pPr>
              <w:widowControl/>
              <w:spacing w:before="300" w:after="300" w:line="360" w:lineRule="auto"/>
              <w:jc w:val="left"/>
              <w:rPr>
                <w:rFonts w:ascii="Times New Roman" w:hAnsi="Times New Roman" w:cs="Times New Roman"/>
                <w:szCs w:val="21"/>
              </w:rPr>
            </w:pPr>
            <w:r>
              <w:rPr>
                <w:rFonts w:ascii="Times New Roman" w:hAnsi="Times New Roman" w:eastAsia="宋体" w:cs="Times New Roman"/>
                <w:kern w:val="0"/>
                <w:szCs w:val="21"/>
                <w:lang w:bidi="ar"/>
              </w:rPr>
              <w:t>Colitis</w:t>
            </w:r>
          </w:p>
        </w:tc>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C42A7B4">
            <w:pPr>
              <w:widowControl/>
              <w:spacing w:before="300" w:after="300" w:line="360" w:lineRule="auto"/>
              <w:jc w:val="left"/>
              <w:rPr>
                <w:rFonts w:ascii="Times New Roman" w:hAnsi="Times New Roman" w:cs="Times New Roman"/>
                <w:szCs w:val="21"/>
              </w:rPr>
            </w:pPr>
            <w:r>
              <w:rPr>
                <w:rFonts w:ascii="Times New Roman" w:hAnsi="Times New Roman" w:eastAsia="宋体" w:cs="Times New Roman"/>
                <w:kern w:val="0"/>
                <w:szCs w:val="21"/>
                <w:lang w:bidi="ar"/>
              </w:rPr>
              <w:t xml:space="preserve">Review dietary intake and exclude steatorrhea. Consider a comprehensive workup, including FBC, UEC, LFTs, CRP, TFTs, stool microscopy and culture, viral PCR, </w:t>
            </w:r>
            <w:r>
              <w:rPr>
                <w:rFonts w:ascii="Times New Roman" w:hAnsi="Times New Roman" w:eastAsia="宋体" w:cs="Times New Roman"/>
                <w:i/>
                <w:iCs/>
                <w:kern w:val="0"/>
                <w:szCs w:val="21"/>
                <w:lang w:bidi="ar"/>
              </w:rPr>
              <w:t>Clostridium difficile</w:t>
            </w:r>
            <w:r>
              <w:rPr>
                <w:rFonts w:ascii="Times New Roman" w:hAnsi="Times New Roman" w:eastAsia="宋体" w:cs="Times New Roman"/>
                <w:kern w:val="0"/>
                <w:szCs w:val="21"/>
                <w:lang w:bidi="ar"/>
              </w:rPr>
              <w:t xml:space="preserve"> toxin, and cryptosporidiosis (for resistant organisms). In cases of abdominal discomfort, consider imaging such as X-ray or CT scan. For patients with bleeding, pain, or distension, consider colonoscopy with biopsy and surgical intervention as appropriate.</w:t>
            </w:r>
          </w:p>
        </w:tc>
      </w:tr>
      <w:tr w14:paraId="7BC32207">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91854B4">
            <w:pPr>
              <w:widowControl/>
              <w:spacing w:before="300" w:after="300" w:line="360" w:lineRule="auto"/>
              <w:jc w:val="left"/>
              <w:rPr>
                <w:rFonts w:ascii="Times New Roman" w:hAnsi="Times New Roman" w:cs="Times New Roman"/>
                <w:szCs w:val="21"/>
              </w:rPr>
            </w:pPr>
            <w:r>
              <w:rPr>
                <w:rFonts w:ascii="Times New Roman" w:hAnsi="Times New Roman" w:eastAsia="宋体" w:cs="Times New Roman"/>
                <w:kern w:val="0"/>
                <w:szCs w:val="21"/>
                <w:lang w:bidi="ar"/>
              </w:rPr>
              <w:t>Ophthalmic Disorders</w:t>
            </w:r>
          </w:p>
        </w:tc>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EDB5B5B">
            <w:pPr>
              <w:widowControl/>
              <w:spacing w:before="300" w:after="300" w:line="360" w:lineRule="auto"/>
              <w:jc w:val="left"/>
              <w:rPr>
                <w:rFonts w:ascii="Times New Roman" w:hAnsi="Times New Roman" w:cs="Times New Roman"/>
                <w:szCs w:val="21"/>
              </w:rPr>
            </w:pPr>
            <w:r>
              <w:rPr>
                <w:rFonts w:ascii="Times New Roman" w:hAnsi="Times New Roman" w:eastAsia="宋体" w:cs="Times New Roman"/>
                <w:kern w:val="0"/>
                <w:szCs w:val="21"/>
                <w:lang w:bidi="ar"/>
              </w:rPr>
              <w:t>For patients presenting with acute, new-onset, or worsening eye inflammation, blurred vision, or other visual disturbances, urgently consult an ophthalmologist for evaluation and management.</w:t>
            </w:r>
          </w:p>
        </w:tc>
      </w:tr>
      <w:tr w14:paraId="5E540E12">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034B58E">
            <w:pPr>
              <w:widowControl/>
              <w:spacing w:before="300" w:after="300" w:line="360" w:lineRule="auto"/>
              <w:jc w:val="left"/>
              <w:rPr>
                <w:rFonts w:ascii="Times New Roman" w:hAnsi="Times New Roman" w:cs="Times New Roman"/>
                <w:szCs w:val="21"/>
              </w:rPr>
            </w:pPr>
            <w:r>
              <w:rPr>
                <w:rFonts w:ascii="Times New Roman" w:hAnsi="Times New Roman" w:eastAsia="宋体" w:cs="Times New Roman"/>
                <w:kern w:val="0"/>
                <w:szCs w:val="21"/>
                <w:lang w:bidi="ar"/>
              </w:rPr>
              <w:t>Hepatitis</w:t>
            </w:r>
          </w:p>
        </w:tc>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51D9357">
            <w:pPr>
              <w:widowControl/>
              <w:spacing w:before="300" w:after="300" w:line="360" w:lineRule="auto"/>
              <w:jc w:val="left"/>
              <w:rPr>
                <w:rFonts w:ascii="Times New Roman" w:hAnsi="Times New Roman" w:cs="Times New Roman"/>
                <w:szCs w:val="21"/>
              </w:rPr>
            </w:pPr>
            <w:r>
              <w:rPr>
                <w:rFonts w:ascii="Times New Roman" w:hAnsi="Times New Roman" w:eastAsia="宋体" w:cs="Times New Roman"/>
                <w:kern w:val="0"/>
                <w:szCs w:val="21"/>
                <w:lang w:bidi="ar"/>
              </w:rPr>
              <w:t>Check ALT/AST/total bilirubin, INR/albumin; frequency depends on AE severity (e.g., daily for Grade 3–4; every 2–3 days for Grade 2 until resolution). Review medications (e.g., statins, antibiotics) and alcohol history. Perform liver screening, including hepatitis A/B serology, hepatitis E PCR, and evaluate anti-ANA/SMA/LKM/SLA/LP/LCI, iron studies. Consider imaging such as ultrasound to detect metastases or thromboembolism. Consult a hepatologist and consider liver biopsy.</w:t>
            </w:r>
          </w:p>
        </w:tc>
      </w:tr>
      <w:tr w14:paraId="72BC976F">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26EF634">
            <w:pPr>
              <w:widowControl/>
              <w:spacing w:before="300" w:after="300" w:line="360" w:lineRule="auto"/>
              <w:jc w:val="left"/>
              <w:rPr>
                <w:rFonts w:ascii="Times New Roman" w:hAnsi="Times New Roman" w:cs="Times New Roman"/>
                <w:szCs w:val="21"/>
              </w:rPr>
            </w:pPr>
            <w:r>
              <w:rPr>
                <w:rFonts w:ascii="Times New Roman" w:hAnsi="Times New Roman" w:eastAsia="宋体" w:cs="Times New Roman"/>
                <w:kern w:val="0"/>
                <w:szCs w:val="21"/>
                <w:lang w:bidi="ar"/>
              </w:rPr>
              <w:t>Nephrotoxicity</w:t>
            </w:r>
          </w:p>
        </w:tc>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8E3D4A7">
            <w:pPr>
              <w:widowControl/>
              <w:spacing w:before="300" w:after="300" w:line="360" w:lineRule="auto"/>
              <w:jc w:val="left"/>
              <w:rPr>
                <w:rFonts w:ascii="Times New Roman" w:hAnsi="Times New Roman" w:cs="Times New Roman"/>
                <w:szCs w:val="21"/>
              </w:rPr>
            </w:pPr>
            <w:r>
              <w:rPr>
                <w:rFonts w:ascii="Times New Roman" w:hAnsi="Times New Roman" w:eastAsia="宋体" w:cs="Times New Roman"/>
                <w:kern w:val="0"/>
                <w:szCs w:val="21"/>
                <w:lang w:bidi="ar"/>
              </w:rPr>
              <w:t>Assess hydration status and medication history. Perform urinalysis and urine culture. Consider renal ultrasound, protein assessment (urine dipstick/24-hour urine collection), or phase-contrast microscopy. Consult a nephrologist for further management.</w:t>
            </w:r>
          </w:p>
        </w:tc>
      </w:tr>
      <w:tr w14:paraId="59554B43">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F5C30BD">
            <w:pPr>
              <w:widowControl/>
              <w:spacing w:before="300" w:after="300" w:line="360" w:lineRule="auto"/>
              <w:jc w:val="left"/>
              <w:rPr>
                <w:rFonts w:ascii="Times New Roman" w:hAnsi="Times New Roman" w:cs="Times New Roman"/>
                <w:szCs w:val="21"/>
              </w:rPr>
            </w:pPr>
            <w:r>
              <w:rPr>
                <w:rFonts w:ascii="Times New Roman" w:hAnsi="Times New Roman" w:eastAsia="宋体" w:cs="Times New Roman"/>
                <w:kern w:val="0"/>
                <w:szCs w:val="21"/>
                <w:lang w:bidi="ar"/>
              </w:rPr>
              <w:t>Dermatologic Toxicity</w:t>
            </w:r>
          </w:p>
        </w:tc>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8A14408">
            <w:pPr>
              <w:widowControl/>
              <w:spacing w:before="300" w:after="300" w:line="360" w:lineRule="auto"/>
              <w:jc w:val="left"/>
              <w:rPr>
                <w:rFonts w:ascii="Times New Roman" w:hAnsi="Times New Roman" w:cs="Times New Roman"/>
                <w:szCs w:val="21"/>
              </w:rPr>
            </w:pPr>
            <w:r>
              <w:rPr>
                <w:rFonts w:ascii="Times New Roman" w:hAnsi="Times New Roman" w:eastAsia="宋体" w:cs="Times New Roman"/>
                <w:kern w:val="0"/>
                <w:szCs w:val="21"/>
                <w:lang w:bidi="ar"/>
              </w:rPr>
              <w:t>Perform a physical exam to consider other causes. If a skin biopsy is needed, refer to a dermatologist.</w:t>
            </w:r>
          </w:p>
        </w:tc>
      </w:tr>
      <w:tr w14:paraId="17658F54">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E4BFDB5">
            <w:pPr>
              <w:widowControl/>
              <w:spacing w:before="300" w:after="300" w:line="360" w:lineRule="auto"/>
              <w:jc w:val="left"/>
              <w:rPr>
                <w:rFonts w:ascii="Times New Roman" w:hAnsi="Times New Roman" w:cs="Times New Roman"/>
                <w:szCs w:val="21"/>
              </w:rPr>
            </w:pPr>
            <w:r>
              <w:rPr>
                <w:rFonts w:ascii="Times New Roman" w:hAnsi="Times New Roman" w:eastAsia="宋体" w:cs="Times New Roman"/>
                <w:kern w:val="0"/>
                <w:szCs w:val="21"/>
                <w:lang w:bidi="ar"/>
              </w:rPr>
              <w:t>Arthritis or Myositis</w:t>
            </w:r>
          </w:p>
        </w:tc>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60A88E7">
            <w:pPr>
              <w:widowControl/>
              <w:spacing w:before="300" w:after="300" w:line="360" w:lineRule="auto"/>
              <w:jc w:val="left"/>
              <w:rPr>
                <w:rFonts w:ascii="Times New Roman" w:hAnsi="Times New Roman" w:cs="Times New Roman"/>
                <w:szCs w:val="21"/>
              </w:rPr>
            </w:pPr>
            <w:r>
              <w:rPr>
                <w:rFonts w:ascii="Times New Roman" w:hAnsi="Times New Roman" w:eastAsia="宋体" w:cs="Times New Roman"/>
                <w:kern w:val="0"/>
                <w:szCs w:val="21"/>
                <w:lang w:bidi="ar"/>
              </w:rPr>
              <w:t>Review musculoskeletal history and complete a musculoskeletal exam. Consider joint X-rays or other imaging to exclude metastatic disease. Perform autoimmune serology and refer to rheumatology for further management assistance. For suspected myositis/rhabdomyolysis/muscle weakness, tests include CK, ESR, CRP, troponin, and consider muscle biopsy.</w:t>
            </w:r>
          </w:p>
        </w:tc>
      </w:tr>
      <w:tr w14:paraId="26DEFE32">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8E6335B">
            <w:pPr>
              <w:widowControl/>
              <w:spacing w:before="300" w:after="300" w:line="360" w:lineRule="auto"/>
              <w:jc w:val="left"/>
              <w:rPr>
                <w:rFonts w:ascii="Times New Roman" w:hAnsi="Times New Roman" w:cs="Times New Roman"/>
                <w:szCs w:val="21"/>
              </w:rPr>
            </w:pPr>
            <w:r>
              <w:rPr>
                <w:rFonts w:ascii="Times New Roman" w:hAnsi="Times New Roman" w:eastAsia="宋体" w:cs="Times New Roman"/>
                <w:kern w:val="0"/>
                <w:szCs w:val="21"/>
                <w:lang w:bidi="ar"/>
              </w:rPr>
              <w:t>Myocarditis</w:t>
            </w:r>
          </w:p>
        </w:tc>
        <w:tc>
          <w:tcPr>
            <w:tcW w:w="0" w:type="auto"/>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419DC15">
            <w:pPr>
              <w:widowControl/>
              <w:spacing w:before="300" w:after="300" w:line="360" w:lineRule="auto"/>
              <w:jc w:val="left"/>
              <w:rPr>
                <w:rFonts w:ascii="Times New Roman" w:hAnsi="Times New Roman" w:cs="Times New Roman"/>
                <w:szCs w:val="21"/>
              </w:rPr>
            </w:pPr>
            <w:r>
              <w:rPr>
                <w:rFonts w:ascii="Times New Roman" w:hAnsi="Times New Roman" w:eastAsia="宋体" w:cs="Times New Roman"/>
                <w:kern w:val="0"/>
                <w:szCs w:val="21"/>
                <w:lang w:bidi="ar"/>
              </w:rPr>
              <w:t>Perform ECG, echocardiography, CK/CK-MB, troponin (I and/or T), and refer to a cardiologist.</w:t>
            </w:r>
          </w:p>
        </w:tc>
      </w:tr>
      <w:bookmarkEnd w:id="170"/>
      <w:bookmarkEnd w:id="171"/>
      <w:bookmarkEnd w:id="172"/>
      <w:bookmarkEnd w:id="173"/>
      <w:bookmarkEnd w:id="174"/>
      <w:bookmarkEnd w:id="175"/>
      <w:bookmarkEnd w:id="176"/>
      <w:bookmarkEnd w:id="177"/>
      <w:bookmarkEnd w:id="178"/>
      <w:bookmarkEnd w:id="179"/>
    </w:tbl>
    <w:p w14:paraId="4AF5A763">
      <w:pPr>
        <w:widowControl/>
        <w:spacing w:line="240" w:lineRule="auto"/>
        <w:ind w:firstLine="420" w:firstLineChars="200"/>
        <w:rPr>
          <w:rFonts w:ascii="Times New Roman" w:hAnsi="Times New Roman" w:eastAsia="宋体" w:cs="Times New Roman"/>
          <w:b/>
          <w:kern w:val="0"/>
          <w:sz w:val="24"/>
          <w:szCs w:val="21"/>
          <w:u w:val="single"/>
        </w:rPr>
      </w:pPr>
      <w:bookmarkStart w:id="218" w:name="APPX6"/>
      <w:bookmarkEnd w:id="218"/>
      <w:r>
        <w:rPr>
          <w:rFonts w:ascii="Times New Roman" w:hAnsi="Times New Roman" w:eastAsia="宋体" w:cs="Times New Roman"/>
          <w:sz w:val="21"/>
          <w:szCs w:val="18"/>
        </w:rPr>
        <w:t>Abbreviations: AE= Adverse Event; ALT= Alanine Aminotransferase; ANA= Antinuclear Antibody; AST= Aspartate Aminotransferase; CK= Creatine Kinase; CK-MB= Creatine Kinase-Myocardial Isozyme; CNS= Central Nervous System; CRP = C-reactive Protein; CT= Computed Tomography; DLCO= Carbon Monoxide Diffusion Test; ECG= Electrocardiogram; ESR= Erythrocyte Sedimentation Rate; FBC= Complete Blood Count; HIV= Human Immunodeficiency Virus; INR= International Standardized Ratio; LCI= Liver Cystic Antigen; LFT= Liver Function Test; LKM= Hepatorenal Microsomal Antibody; LP= Hepatopancreatic Antigen; MRA= Magnetic Resonance Angiography; MRI= Magnetic Resonance Imaging; PCR= Polymerase Chain Reaction; SLA= Soluble Liver Antigen; SMA= Smooth Muscle Antibody; T4= Thyroxine; TFT= Thyroid Function Test; TSH= Thyroid-Stimulating Hormone; UEC= Urea, Electrolytes and Creatinine.</w:t>
      </w:r>
    </w:p>
    <w:p w14:paraId="4C375D86">
      <w:pPr>
        <w:widowControl/>
        <w:numPr>
          <w:ilvl w:val="0"/>
          <w:numId w:val="0"/>
        </w:numPr>
        <w:spacing w:line="480" w:lineRule="auto"/>
        <w:rPr>
          <w:rFonts w:hint="default" w:ascii="Times New Roman" w:hAnsi="Times New Roman"/>
        </w:rPr>
      </w:pPr>
      <w:bookmarkStart w:id="219" w:name="_Toc1528257294"/>
      <w:bookmarkStart w:id="220" w:name="_Toc1848055236"/>
      <w:bookmarkStart w:id="221" w:name="OLE_LINK2"/>
      <w:bookmarkStart w:id="222" w:name="OLE_LINK3"/>
      <w:r>
        <w:rPr>
          <w:rFonts w:hint="default" w:ascii="Times New Roman Bold" w:hAnsi="Times New Roman Bold" w:eastAsia="宋体" w:cs="Times New Roman Bold"/>
          <w:b/>
          <w:bCs/>
          <w:sz w:val="28"/>
          <w:szCs w:val="28"/>
        </w:rPr>
        <w:t>Treatment of Immune-Related Adverse Events</w:t>
      </w:r>
      <w:bookmarkEnd w:id="219"/>
      <w:bookmarkEnd w:id="220"/>
    </w:p>
    <w:p w14:paraId="72AF7AFA">
      <w:pPr>
        <w:widowControl/>
        <w:numPr>
          <w:ilvl w:val="0"/>
          <w:numId w:val="14"/>
        </w:numPr>
        <w:spacing w:line="360" w:lineRule="auto"/>
        <w:ind w:left="0" w:firstLine="480" w:firstLineChars="200"/>
        <w:rPr>
          <w:rFonts w:ascii="Times New Roman" w:hAnsi="Times New Roman" w:eastAsia="宋体" w:cs="Times New Roman"/>
          <w:sz w:val="24"/>
        </w:rPr>
      </w:pPr>
      <w:r>
        <w:rPr>
          <w:rFonts w:ascii="Times New Roman" w:hAnsi="Times New Roman" w:eastAsia="宋体" w:cs="Times New Roman"/>
          <w:sz w:val="24"/>
        </w:rPr>
        <w:t>AEs can develop rapidly; depending on the situation, it may be necessary to interrupt study treatment, closely monitor, and promptly initiate diagnostic workup and therapeutic interventions.</w:t>
      </w:r>
    </w:p>
    <w:p w14:paraId="2FD6850F">
      <w:pPr>
        <w:widowControl/>
        <w:numPr>
          <w:ilvl w:val="0"/>
          <w:numId w:val="14"/>
        </w:numPr>
        <w:spacing w:line="360" w:lineRule="auto"/>
        <w:ind w:left="0" w:firstLine="480" w:firstLineChars="200"/>
        <w:rPr>
          <w:rFonts w:ascii="Times New Roman" w:hAnsi="Times New Roman" w:eastAsia="宋体" w:cs="Times New Roman"/>
          <w:sz w:val="24"/>
        </w:rPr>
      </w:pPr>
      <w:r>
        <w:rPr>
          <w:rFonts w:ascii="Times New Roman" w:hAnsi="Times New Roman" w:eastAsia="宋体" w:cs="Times New Roman"/>
          <w:sz w:val="24"/>
        </w:rPr>
        <w:t>Immune-related AEs should improve rapidly after immunosuppressive therapy. If this does not occur, re-evaluate the diagnosis and seek expert advice.</w:t>
      </w:r>
    </w:p>
    <w:p w14:paraId="4B20AD1A">
      <w:pPr>
        <w:widowControl/>
        <w:numPr>
          <w:ilvl w:val="0"/>
          <w:numId w:val="14"/>
        </w:numPr>
        <w:spacing w:line="360" w:lineRule="auto"/>
        <w:ind w:left="0" w:firstLine="480" w:firstLineChars="200"/>
        <w:rPr>
          <w:rFonts w:ascii="Times New Roman" w:hAnsi="Times New Roman" w:eastAsia="宋体" w:cs="Times New Roman"/>
          <w:sz w:val="24"/>
        </w:rPr>
      </w:pPr>
      <w:r>
        <w:rPr>
          <w:rFonts w:ascii="Times New Roman" w:hAnsi="Times New Roman" w:eastAsia="宋体" w:cs="Times New Roman"/>
          <w:sz w:val="24"/>
        </w:rPr>
        <w:t>For some rapidly resolving Grade 3 toxicities, resumption of study treatment may be considered if there is evidence of clinical improvement in response to the study therapy.</w:t>
      </w:r>
    </w:p>
    <w:p w14:paraId="5CE08A2C">
      <w:pPr>
        <w:widowControl/>
        <w:numPr>
          <w:ilvl w:val="0"/>
          <w:numId w:val="14"/>
        </w:numPr>
        <w:spacing w:line="360" w:lineRule="auto"/>
        <w:ind w:left="0" w:firstLine="480" w:firstLineChars="200"/>
        <w:rPr>
          <w:rFonts w:ascii="Times New Roman" w:hAnsi="Times New Roman" w:eastAsia="宋体" w:cs="Times New Roman"/>
          <w:sz w:val="24"/>
        </w:rPr>
      </w:pPr>
      <w:r>
        <w:rPr>
          <w:rFonts w:ascii="Times New Roman" w:hAnsi="Times New Roman" w:eastAsia="宋体" w:cs="Times New Roman"/>
          <w:sz w:val="24"/>
        </w:rPr>
        <w:t>The steroid doses listed in the table below refer to oral or intravenous (methyl)prednisolone. Equivalent doses of other corticosteroids may be substituted. For steroid-refractory irAEs, consider steroid-sparing agents (e.g., mycophenolate mofetil [MMF]).</w:t>
      </w:r>
    </w:p>
    <w:p w14:paraId="7B08639B">
      <w:pPr>
        <w:widowControl/>
        <w:numPr>
          <w:ilvl w:val="0"/>
          <w:numId w:val="14"/>
        </w:numPr>
        <w:spacing w:line="360" w:lineRule="auto"/>
        <w:ind w:left="0" w:firstLine="480" w:firstLineChars="200"/>
        <w:rPr>
          <w:rFonts w:ascii="Times New Roman" w:hAnsi="Times New Roman" w:eastAsia="宋体" w:cs="Times New Roman"/>
          <w:kern w:val="0"/>
          <w:sz w:val="24"/>
          <w:szCs w:val="21"/>
        </w:rPr>
      </w:pPr>
      <w:r>
        <w:rPr>
          <w:rFonts w:ascii="Times New Roman" w:hAnsi="Times New Roman" w:eastAsia="宋体" w:cs="Times New Roman"/>
          <w:sz w:val="24"/>
        </w:rPr>
        <w:t>If patients require long-term immunosuppressive therapy, consider prophylactic antibiotics to prevent opportunistic infections.</w:t>
      </w:r>
      <w:bookmarkEnd w:id="221"/>
      <w:bookmarkEnd w:id="222"/>
    </w:p>
    <w:tbl>
      <w:tblPr>
        <w:tblStyle w:val="15"/>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2301"/>
        <w:gridCol w:w="3338"/>
        <w:gridCol w:w="2214"/>
      </w:tblGrid>
      <w:tr w14:paraId="2AF6DA9D">
        <w:trPr>
          <w:cantSplit/>
          <w:tblHeader/>
          <w:jc w:val="center"/>
        </w:trPr>
        <w:tc>
          <w:tcPr>
            <w:tcW w:w="1799" w:type="dxa"/>
          </w:tcPr>
          <w:p w14:paraId="7A4F04C3">
            <w:pPr>
              <w:suppressAutoHyphens/>
              <w:spacing w:before="40" w:after="20" w:line="360" w:lineRule="auto"/>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Autoimmune toxicity</w:t>
            </w:r>
          </w:p>
        </w:tc>
        <w:tc>
          <w:tcPr>
            <w:tcW w:w="2301" w:type="dxa"/>
          </w:tcPr>
          <w:p w14:paraId="44769FB4">
            <w:pPr>
              <w:suppressAutoHyphens/>
              <w:spacing w:before="40" w:after="20" w:line="360" w:lineRule="auto"/>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 xml:space="preserve">classify </w:t>
            </w:r>
          </w:p>
        </w:tc>
        <w:tc>
          <w:tcPr>
            <w:tcW w:w="3338" w:type="dxa"/>
          </w:tcPr>
          <w:p w14:paraId="15D9A7C4">
            <w:pPr>
              <w:suppressAutoHyphens/>
              <w:spacing w:before="40" w:after="20" w:line="360" w:lineRule="auto"/>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Treatment guidelines (based on clinical judgment)</w:t>
            </w:r>
          </w:p>
        </w:tc>
        <w:tc>
          <w:tcPr>
            <w:tcW w:w="2214" w:type="dxa"/>
          </w:tcPr>
          <w:p w14:paraId="5A05C8D8">
            <w:pPr>
              <w:suppressAutoHyphens/>
              <w:spacing w:before="40" w:after="20" w:line="360" w:lineRule="auto"/>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Research on drug management</w:t>
            </w:r>
          </w:p>
        </w:tc>
      </w:tr>
      <w:tr w14:paraId="15419ECF">
        <w:trPr>
          <w:cantSplit/>
          <w:jc w:val="center"/>
        </w:trPr>
        <w:tc>
          <w:tcPr>
            <w:tcW w:w="1799" w:type="dxa"/>
            <w:vMerge w:val="restart"/>
          </w:tcPr>
          <w:p w14:paraId="5B2D9233">
            <w:pPr>
              <w:suppressAutoHyphens/>
              <w:spacing w:before="50" w:after="50" w:line="360" w:lineRule="auto"/>
              <w:jc w:val="left"/>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 xml:space="preserve">thyroid disease </w:t>
            </w:r>
          </w:p>
        </w:tc>
        <w:tc>
          <w:tcPr>
            <w:tcW w:w="2301" w:type="dxa"/>
          </w:tcPr>
          <w:p w14:paraId="7E4E8E35">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1-2</w:t>
            </w:r>
          </w:p>
          <w:p w14:paraId="26B285BC">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Asymptomatic TFT abnormalities or mild symptoms</w:t>
            </w:r>
          </w:p>
        </w:tc>
        <w:tc>
          <w:tcPr>
            <w:tcW w:w="3338" w:type="dxa"/>
          </w:tcPr>
          <w:p w14:paraId="29C14827">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If hypothyroidism is present, thyroid hormone replacement therapy should be given until TSH/T4 levels return to normal.</w:t>
            </w:r>
          </w:p>
          <w:p w14:paraId="76F9C540">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Patients with thyroid disease should consult an endocrinologist. In cases of systemic symptoms: discontinue study treatment, initiate β-blocker therapy, and consider oral prednisolone at 0.5 mg/kg/day for thyroid pain management. Corticosteroids should be tapered over 2-4 weeks. Thyroid function should be monitored, with hormone replacement therapy initiated if necessary.</w:t>
            </w:r>
          </w:p>
        </w:tc>
        <w:tc>
          <w:tcPr>
            <w:tcW w:w="2214" w:type="dxa"/>
          </w:tcPr>
          <w:p w14:paraId="67111438">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If systemic symptoms occur, the study treatment may be continued or discontinued.</w:t>
            </w:r>
          </w:p>
        </w:tc>
      </w:tr>
      <w:tr w14:paraId="75FEC508">
        <w:trPr>
          <w:jc w:val="center"/>
        </w:trPr>
        <w:tc>
          <w:tcPr>
            <w:tcW w:w="1799" w:type="dxa"/>
            <w:vMerge w:val="continue"/>
          </w:tcPr>
          <w:p w14:paraId="11762559">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01" w:type="dxa"/>
          </w:tcPr>
          <w:p w14:paraId="7C837902">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3-4</w:t>
            </w:r>
          </w:p>
          <w:p w14:paraId="5AC62BF9">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Severe symptoms require hospitalization</w:t>
            </w:r>
          </w:p>
        </w:tc>
        <w:tc>
          <w:tcPr>
            <w:tcW w:w="3338" w:type="dxa"/>
          </w:tcPr>
          <w:p w14:paraId="7F91DF2C">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Consult an endocrinologist.</w:t>
            </w:r>
          </w:p>
          <w:p w14:paraId="1A2B9485">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In cases of hypothyroidism, thyroid hormone replacement therapy should be initiated at 0.5-1.5 µg/kg/day (the recommended starting dose is 0.5 µg/kg/day for elderly patients or those with comorbidities). Oral prednisolone at 0.5 mg/kg/day should be added to manage thyroid pain. Patients with thyrotoxicosis require beta-blocker therapy, and Miao Xing Ping (thyrotoxicosis medication) may be administered until thyroiditis resolution.</w:t>
            </w:r>
          </w:p>
        </w:tc>
        <w:tc>
          <w:tcPr>
            <w:tcW w:w="2214" w:type="dxa"/>
          </w:tcPr>
          <w:p w14:paraId="14ED7DC6">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Suspend the study treatment; if it returns to level 0-1, you may resume the treatment.</w:t>
            </w:r>
          </w:p>
        </w:tc>
      </w:tr>
      <w:tr w14:paraId="168C2AD3">
        <w:trPr>
          <w:cantSplit/>
          <w:jc w:val="center"/>
        </w:trPr>
        <w:tc>
          <w:tcPr>
            <w:tcW w:w="1799" w:type="dxa"/>
            <w:vMerge w:val="restart"/>
          </w:tcPr>
          <w:p w14:paraId="49D9B546">
            <w:pPr>
              <w:suppressAutoHyphens/>
              <w:spacing w:before="50" w:after="50" w:line="360" w:lineRule="auto"/>
              <w:jc w:val="left"/>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 xml:space="preserve">hypophysitis </w:t>
            </w:r>
          </w:p>
        </w:tc>
        <w:tc>
          <w:tcPr>
            <w:tcW w:w="2301" w:type="dxa"/>
          </w:tcPr>
          <w:p w14:paraId="400C1187">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1-2</w:t>
            </w:r>
          </w:p>
          <w:p w14:paraId="2A092C61">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Mild to moderate symptoms</w:t>
            </w:r>
          </w:p>
        </w:tc>
        <w:tc>
          <w:tcPr>
            <w:tcW w:w="3338" w:type="dxa"/>
          </w:tcPr>
          <w:p w14:paraId="3CF851E4">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Endocrinologists should be consulted to determine hormone replacement therapy. For patients with pituitary inflammation, oral prednisolone at 0.5-1 mg/kg/day should be added. The corticosteroid dose should be gradually reduced over at least one month. If no improvement is observed within 48 hours, the condition should be managed as a Grade 3-4 event. The corticosteroid dosage should be tapered over at least one month.</w:t>
            </w:r>
          </w:p>
        </w:tc>
        <w:tc>
          <w:tcPr>
            <w:tcW w:w="2214" w:type="dxa"/>
          </w:tcPr>
          <w:p w14:paraId="1D6A6AB4">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Continue with research therapy.</w:t>
            </w:r>
          </w:p>
        </w:tc>
      </w:tr>
      <w:tr w14:paraId="108D7396">
        <w:trPr>
          <w:cantSplit/>
          <w:jc w:val="center"/>
        </w:trPr>
        <w:tc>
          <w:tcPr>
            <w:tcW w:w="1799" w:type="dxa"/>
            <w:vMerge w:val="continue"/>
          </w:tcPr>
          <w:p w14:paraId="1A53934E">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01" w:type="dxa"/>
          </w:tcPr>
          <w:p w14:paraId="1346E916">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3-4</w:t>
            </w:r>
          </w:p>
          <w:p w14:paraId="2268AAFD">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Severe or life-threatening symptoms</w:t>
            </w:r>
          </w:p>
        </w:tc>
        <w:tc>
          <w:tcPr>
            <w:tcW w:w="3338" w:type="dxa"/>
          </w:tcPr>
          <w:p w14:paraId="24747604">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Consult an endocrinologist for evaluation and treatment. For patients with headaches or visual disturbances caused by pituitary inflammation, initiate an intravenous methylprednisolone pulse therapy at 1 mg/kg. Switch to oral prednisolone and gradually reduce the dosage over at least one month. Continue hormone replacement therapy as advised by endocrinologists. Continue hormone replacement therapy as recommended by endocrinologists.</w:t>
            </w:r>
          </w:p>
        </w:tc>
        <w:tc>
          <w:tcPr>
            <w:tcW w:w="2214" w:type="dxa"/>
          </w:tcPr>
          <w:p w14:paraId="22E04395">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For patients with headache/visual impairment caused by hypophysitis, study treatment is discontinued until the event resolves/improves to level 2 or lower. Treatment is usually not discontinued.</w:t>
            </w:r>
          </w:p>
        </w:tc>
      </w:tr>
      <w:tr w14:paraId="7DA93159">
        <w:trPr>
          <w:cantSplit/>
          <w:jc w:val="center"/>
        </w:trPr>
        <w:tc>
          <w:tcPr>
            <w:tcW w:w="1799" w:type="dxa"/>
            <w:vMerge w:val="restart"/>
          </w:tcPr>
          <w:p w14:paraId="1D980DC6">
            <w:pPr>
              <w:suppressAutoHyphens/>
              <w:spacing w:before="50" w:after="50" w:line="360" w:lineRule="auto"/>
              <w:jc w:val="left"/>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Non-infectious pneumonia</w:t>
            </w:r>
          </w:p>
        </w:tc>
        <w:tc>
          <w:tcPr>
            <w:tcW w:w="2301" w:type="dxa"/>
          </w:tcPr>
          <w:p w14:paraId="6D5514F5">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1</w:t>
            </w:r>
          </w:p>
          <w:p w14:paraId="7411E566">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Only imaging studies showed changes</w:t>
            </w:r>
          </w:p>
        </w:tc>
        <w:tc>
          <w:tcPr>
            <w:tcW w:w="3338" w:type="dxa"/>
          </w:tcPr>
          <w:p w14:paraId="6D9A778F">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Monitor symptoms every 2-3 days.</w:t>
            </w:r>
          </w:p>
          <w:p w14:paraId="59E98C61">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If deterioration occurs, treat it as a Level 2 event.</w:t>
            </w:r>
          </w:p>
        </w:tc>
        <w:tc>
          <w:tcPr>
            <w:tcW w:w="2214" w:type="dxa"/>
          </w:tcPr>
          <w:p w14:paraId="6FBB4093">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Consider suspending treatment until improvement is seen and the cause is identified.</w:t>
            </w:r>
          </w:p>
        </w:tc>
      </w:tr>
      <w:tr w14:paraId="3664A795">
        <w:trPr>
          <w:cantSplit/>
          <w:jc w:val="center"/>
        </w:trPr>
        <w:tc>
          <w:tcPr>
            <w:tcW w:w="1799" w:type="dxa"/>
            <w:vMerge w:val="continue"/>
          </w:tcPr>
          <w:p w14:paraId="5ED71D8A">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01" w:type="dxa"/>
          </w:tcPr>
          <w:p w14:paraId="7D951ADC">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2</w:t>
            </w:r>
          </w:p>
          <w:p w14:paraId="5C34610E">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Symptoms: exertional dyspnea</w:t>
            </w:r>
          </w:p>
        </w:tc>
        <w:tc>
          <w:tcPr>
            <w:tcW w:w="3338" w:type="dxa"/>
          </w:tcPr>
          <w:p w14:paraId="607C4F18">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If an infection is suspected, antibiotics should be initiated. If symptoms/signs persist or worsen for 48 hours, oral prednisolone 1 mg/kg/day should be added. Consider prophylactic treatment for Pneumocystis jirovecii infection. Corticosteroids should be tapered over at least 6 weeks.</w:t>
            </w:r>
          </w:p>
          <w:p w14:paraId="1BF332F9">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Consider preventing steroid side effects: such as blood sugar monitoring, vitamin D/calcium supplements.</w:t>
            </w:r>
          </w:p>
        </w:tc>
        <w:tc>
          <w:tcPr>
            <w:tcW w:w="2214" w:type="dxa"/>
          </w:tcPr>
          <w:p w14:paraId="5BF73978">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Suspend study treatment. If symptoms are completely resolved or can be controlled with prednisolone ≤10 mg/day, resumption of treatment is acceptable. If symptoms persist after corticosteroid therapy, study treatment is discontinued.</w:t>
            </w:r>
          </w:p>
        </w:tc>
      </w:tr>
      <w:tr w14:paraId="643C6C78">
        <w:trPr>
          <w:cantSplit/>
          <w:jc w:val="center"/>
        </w:trPr>
        <w:tc>
          <w:tcPr>
            <w:tcW w:w="1799" w:type="dxa"/>
            <w:vMerge w:val="continue"/>
          </w:tcPr>
          <w:p w14:paraId="4E7DC3B0">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01" w:type="dxa"/>
          </w:tcPr>
          <w:p w14:paraId="49C9187E">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3-4</w:t>
            </w:r>
          </w:p>
          <w:p w14:paraId="42BD86A5">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Severe or life-threatening symptoms</w:t>
            </w:r>
          </w:p>
          <w:p w14:paraId="7BE33EDB">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You can't breathe when you rest</w:t>
            </w:r>
          </w:p>
        </w:tc>
        <w:tc>
          <w:tcPr>
            <w:tcW w:w="3338" w:type="dxa"/>
          </w:tcPr>
          <w:p w14:paraId="57EF4C5F">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Patients should receive methylprednisolone (2-4 mg/kg/day) via intravenous administration during hospitalization. If symptoms persist or worsen within 48 hours, add 5 mg/kg of infliximab (if no hepatic involvement is present). Switch to oral prednisone with gradual tapering over at least two months. Administer empirical antibiotics covering the spectrum of bacterial infections, while considering prophylaxis against Pneumocystis pneumonia and managing steroid-related side effects such as blood glucose monitoring and vitamin D/calcium supplementation.</w:t>
            </w:r>
          </w:p>
        </w:tc>
        <w:tc>
          <w:tcPr>
            <w:tcW w:w="2214" w:type="dxa"/>
          </w:tcPr>
          <w:p w14:paraId="1251B93F">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Terminate the study.</w:t>
            </w:r>
          </w:p>
        </w:tc>
      </w:tr>
      <w:tr w14:paraId="0F96239C">
        <w:trPr>
          <w:cantSplit/>
          <w:jc w:val="center"/>
        </w:trPr>
        <w:tc>
          <w:tcPr>
            <w:tcW w:w="1799" w:type="dxa"/>
            <w:vMerge w:val="restart"/>
          </w:tcPr>
          <w:p w14:paraId="7D1A157A">
            <w:pPr>
              <w:suppressAutoHyphens/>
              <w:spacing w:before="50" w:after="50" w:line="360" w:lineRule="auto"/>
              <w:jc w:val="left"/>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 xml:space="preserve">neurotoxicity </w:t>
            </w:r>
          </w:p>
        </w:tc>
        <w:tc>
          <w:tcPr>
            <w:tcW w:w="2301" w:type="dxa"/>
          </w:tcPr>
          <w:p w14:paraId="6CB6DA03">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1</w:t>
            </w:r>
          </w:p>
          <w:p w14:paraId="3DD6861F">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Mild symptoms</w:t>
            </w:r>
          </w:p>
        </w:tc>
        <w:tc>
          <w:tcPr>
            <w:tcW w:w="3338" w:type="dxa"/>
          </w:tcPr>
          <w:p w14:paraId="69E435CA">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214" w:type="dxa"/>
          </w:tcPr>
          <w:p w14:paraId="72F0811D">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Continue with research therapy.</w:t>
            </w:r>
          </w:p>
        </w:tc>
      </w:tr>
      <w:tr w14:paraId="3696CD66">
        <w:trPr>
          <w:cantSplit/>
          <w:jc w:val="center"/>
        </w:trPr>
        <w:tc>
          <w:tcPr>
            <w:tcW w:w="1799" w:type="dxa"/>
            <w:vMerge w:val="continue"/>
          </w:tcPr>
          <w:p w14:paraId="0DE0C4B5">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01" w:type="dxa"/>
          </w:tcPr>
          <w:p w14:paraId="02E70D9A">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2</w:t>
            </w:r>
          </w:p>
          <w:p w14:paraId="7501891C">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Moderate symptoms</w:t>
            </w:r>
          </w:p>
        </w:tc>
        <w:tc>
          <w:tcPr>
            <w:tcW w:w="3338" w:type="dxa"/>
          </w:tcPr>
          <w:p w14:paraId="56F5F1E8">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Give oral prednisolone 0.5-1 mg/kg/day and taper off gradually for at least 4 weeks. Consult a neurologist.</w:t>
            </w:r>
          </w:p>
        </w:tc>
        <w:tc>
          <w:tcPr>
            <w:tcW w:w="2214" w:type="dxa"/>
          </w:tcPr>
          <w:p w14:paraId="344E3011">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Suspend the study treatment; if it returns to level 0-1, you may resume the treatment.</w:t>
            </w:r>
          </w:p>
        </w:tc>
      </w:tr>
      <w:tr w14:paraId="4E504994">
        <w:trPr>
          <w:cantSplit/>
          <w:jc w:val="center"/>
        </w:trPr>
        <w:tc>
          <w:tcPr>
            <w:tcW w:w="1799" w:type="dxa"/>
            <w:vMerge w:val="continue"/>
          </w:tcPr>
          <w:p w14:paraId="525297FF">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01" w:type="dxa"/>
          </w:tcPr>
          <w:p w14:paraId="459DF897">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3-4</w:t>
            </w:r>
          </w:p>
          <w:p w14:paraId="5856825C">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Severe and life-threatening</w:t>
            </w:r>
          </w:p>
        </w:tc>
        <w:tc>
          <w:tcPr>
            <w:tcW w:w="3338" w:type="dxa"/>
          </w:tcPr>
          <w:p w14:paraId="09D3E488">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According to the symptoms, oral prednisolone or intravenous methylprednisolone 1-2 mg/kg/day is initiated. The corticosteroid is tapered over at least 4 weeks.</w:t>
            </w:r>
          </w:p>
          <w:p w14:paraId="20F2F878">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If there is no remission within 72-96 hours, consider azathioprine, MMF, or cyclosporine.</w:t>
            </w:r>
          </w:p>
        </w:tc>
        <w:tc>
          <w:tcPr>
            <w:tcW w:w="2214" w:type="dxa"/>
          </w:tcPr>
          <w:p w14:paraId="2432DCE0">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Terminate the study.</w:t>
            </w:r>
          </w:p>
        </w:tc>
      </w:tr>
      <w:tr w14:paraId="256D3549">
        <w:trPr>
          <w:cantSplit/>
          <w:jc w:val="center"/>
        </w:trPr>
        <w:tc>
          <w:tcPr>
            <w:tcW w:w="1799" w:type="dxa"/>
            <w:vMerge w:val="restart"/>
          </w:tcPr>
          <w:p w14:paraId="79238230">
            <w:pPr>
              <w:suppressAutoHyphens/>
              <w:spacing w:before="50" w:after="50" w:line="360" w:lineRule="auto"/>
              <w:jc w:val="left"/>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Colitis/diarrhea</w:t>
            </w:r>
          </w:p>
        </w:tc>
        <w:tc>
          <w:tcPr>
            <w:tcW w:w="2301" w:type="dxa"/>
          </w:tcPr>
          <w:p w14:paraId="624659F4">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1</w:t>
            </w:r>
          </w:p>
          <w:p w14:paraId="3FF5E2D9">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Mild symptoms. &lt;3 times daily watery stools and feeling good compared to baseline</w:t>
            </w:r>
          </w:p>
        </w:tc>
        <w:tc>
          <w:tcPr>
            <w:tcW w:w="3338" w:type="dxa"/>
          </w:tcPr>
          <w:p w14:paraId="570C6650">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Symptomatic treatment: fluid replacement, administration of loperidamine, avoid high fiber/lactose diet.</w:t>
            </w:r>
          </w:p>
          <w:p w14:paraId="11BDEFD8">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If a Level 1 event lasts more than 14 days, it is treated as a Level 2 event.</w:t>
            </w:r>
          </w:p>
        </w:tc>
        <w:tc>
          <w:tcPr>
            <w:tcW w:w="2214" w:type="dxa"/>
          </w:tcPr>
          <w:p w14:paraId="3EA6F0B5">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Continue with research therapy.</w:t>
            </w:r>
          </w:p>
        </w:tc>
      </w:tr>
      <w:tr w14:paraId="7D47DEE0">
        <w:trPr>
          <w:cantSplit/>
          <w:jc w:val="center"/>
        </w:trPr>
        <w:tc>
          <w:tcPr>
            <w:tcW w:w="1799" w:type="dxa"/>
            <w:vMerge w:val="continue"/>
          </w:tcPr>
          <w:p w14:paraId="69A1E9B7">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01" w:type="dxa"/>
          </w:tcPr>
          <w:p w14:paraId="038FF42A">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2</w:t>
            </w:r>
          </w:p>
          <w:p w14:paraId="4496AB33">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Moderate symptoms. Compared with baseline, watery stools 4-6 times per day, or abdominal pain, or blood in stool, or nausea, or nighttime episodes</w:t>
            </w:r>
          </w:p>
        </w:tc>
        <w:tc>
          <w:tcPr>
            <w:tcW w:w="3338" w:type="dxa"/>
          </w:tcPr>
          <w:p w14:paraId="6332A95A">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Oral prednisolone 0.5 mg/kg/day (non-enteric coating tablets).</w:t>
            </w:r>
          </w:p>
          <w:p w14:paraId="2997DC21">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Don't wait for any diagnostic tests to be done before starting treatment. The steroids are tapered off over 2-4 weeks and endoscopy is considered if symptoms recur.</w:t>
            </w:r>
          </w:p>
        </w:tc>
        <w:tc>
          <w:tcPr>
            <w:tcW w:w="2214" w:type="dxa"/>
          </w:tcPr>
          <w:p w14:paraId="41E4B02F">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Suspend treatment; if the recovery/improvement reaches baseline levels, treatment may be resumed.</w:t>
            </w:r>
          </w:p>
        </w:tc>
      </w:tr>
      <w:tr w14:paraId="6D37A8E6">
        <w:trPr>
          <w:cantSplit/>
          <w:jc w:val="center"/>
        </w:trPr>
        <w:tc>
          <w:tcPr>
            <w:tcW w:w="1799" w:type="dxa"/>
            <w:vMerge w:val="continue"/>
          </w:tcPr>
          <w:p w14:paraId="493E357B">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01" w:type="dxa"/>
          </w:tcPr>
          <w:p w14:paraId="72967E21">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3</w:t>
            </w:r>
          </w:p>
          <w:p w14:paraId="1271BF03">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Severe symptoms: watery stool&gt; 6 times compared to baseline, or occurring within 1 hour after a meal</w:t>
            </w:r>
          </w:p>
        </w:tc>
        <w:tc>
          <w:tcPr>
            <w:tcW w:w="3338" w:type="dxa"/>
            <w:vMerge w:val="restart"/>
          </w:tcPr>
          <w:p w14:paraId="30B995DB">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Methylprednisolone 1-2 mg/kg/day was administered intravenously.</w:t>
            </w:r>
          </w:p>
          <w:p w14:paraId="5AB6BC23">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Switch to oral prednisolone and taper off gradually for at least 4 weeks. Consider preventing steroid side effects: e.g., blood glucose monitoring, vitamin D/calcium supplements.</w:t>
            </w:r>
          </w:p>
          <w:p w14:paraId="2F5C72CB">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If there is no improvement or worsening of symptoms within 72 hours, and if there is no perforation, sepsis, tuberculosis, hepatitis, NYHA III or IV class congestive heart failure, or other immunosuppressive therapy: MMF or tacrolimus, infliximab 5 mg/kg may be considered.</w:t>
            </w:r>
          </w:p>
          <w:p w14:paraId="08AC94B1">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Consult a gastroenterologist for colonoscopy/sigmoidoscopy.</w:t>
            </w:r>
          </w:p>
        </w:tc>
        <w:tc>
          <w:tcPr>
            <w:tcW w:w="2214" w:type="dxa"/>
          </w:tcPr>
          <w:p w14:paraId="5FD0ED97">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The study treatment is suspended; the treatment may be considered to be resumed after the event is resolved/improved to baseline.</w:t>
            </w:r>
          </w:p>
        </w:tc>
      </w:tr>
      <w:tr w14:paraId="284C57B6">
        <w:trPr>
          <w:cantSplit/>
          <w:jc w:val="center"/>
        </w:trPr>
        <w:tc>
          <w:tcPr>
            <w:tcW w:w="1799" w:type="dxa"/>
            <w:vMerge w:val="continue"/>
          </w:tcPr>
          <w:p w14:paraId="0B5760BD">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01" w:type="dxa"/>
          </w:tcPr>
          <w:p w14:paraId="3226FCC4">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4</w:t>
            </w:r>
          </w:p>
          <w:p w14:paraId="1CBBB755">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Life-threatening symptoms</w:t>
            </w:r>
          </w:p>
        </w:tc>
        <w:tc>
          <w:tcPr>
            <w:tcW w:w="3338" w:type="dxa"/>
            <w:vMerge w:val="continue"/>
          </w:tcPr>
          <w:p w14:paraId="68750055">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214" w:type="dxa"/>
          </w:tcPr>
          <w:p w14:paraId="6B9AAF84">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Terminate the study.</w:t>
            </w:r>
          </w:p>
        </w:tc>
      </w:tr>
      <w:tr w14:paraId="0BCC2AF5">
        <w:trPr>
          <w:cantSplit/>
          <w:jc w:val="center"/>
        </w:trPr>
        <w:tc>
          <w:tcPr>
            <w:tcW w:w="1799" w:type="dxa"/>
            <w:vMerge w:val="restart"/>
          </w:tcPr>
          <w:p w14:paraId="13CDA53B">
            <w:pPr>
              <w:suppressAutoHyphens/>
              <w:spacing w:before="50" w:after="50" w:line="360" w:lineRule="auto"/>
              <w:jc w:val="left"/>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 xml:space="preserve">cutaneous reaction </w:t>
            </w:r>
          </w:p>
        </w:tc>
        <w:tc>
          <w:tcPr>
            <w:tcW w:w="2301" w:type="dxa"/>
          </w:tcPr>
          <w:p w14:paraId="5348802E">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1</w:t>
            </w:r>
          </w:p>
          <w:p w14:paraId="1F6A43F2">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Rashes may or may not be accompanied by symptoms,&lt;10% BSA</w:t>
            </w:r>
          </w:p>
        </w:tc>
        <w:tc>
          <w:tcPr>
            <w:tcW w:w="3338" w:type="dxa"/>
          </w:tcPr>
          <w:p w14:paraId="4ABD6F95">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Avoid skin irritation and sun exposure; topical moisturizers are recommended.</w:t>
            </w:r>
          </w:p>
        </w:tc>
        <w:tc>
          <w:tcPr>
            <w:tcW w:w="2214" w:type="dxa"/>
          </w:tcPr>
          <w:p w14:paraId="606E8AB5">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Continue with research therapy.</w:t>
            </w:r>
          </w:p>
        </w:tc>
      </w:tr>
      <w:tr w14:paraId="0DBFD21E">
        <w:trPr>
          <w:cantSplit/>
          <w:jc w:val="center"/>
        </w:trPr>
        <w:tc>
          <w:tcPr>
            <w:tcW w:w="1799" w:type="dxa"/>
            <w:vMerge w:val="continue"/>
          </w:tcPr>
          <w:p w14:paraId="3298AD61">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01" w:type="dxa"/>
          </w:tcPr>
          <w:p w14:paraId="26403ACE">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2</w:t>
            </w:r>
          </w:p>
          <w:p w14:paraId="091CBF24">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Rashes covering 10-30% of BSA</w:t>
            </w:r>
          </w:p>
        </w:tc>
        <w:tc>
          <w:tcPr>
            <w:tcW w:w="3338" w:type="dxa"/>
          </w:tcPr>
          <w:p w14:paraId="2EDD7470">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Avoid skin irritation and sun exposure; topical moisturizers are recommended.</w:t>
            </w:r>
          </w:p>
          <w:p w14:paraId="00C8B48C">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Topical steroids (medium strength cream once daily or strong cream twice daily) ± Oral or topical antihistamines to manage itching. Consider short-term oral steroid therapy.</w:t>
            </w:r>
          </w:p>
        </w:tc>
        <w:tc>
          <w:tcPr>
            <w:tcW w:w="2214" w:type="dxa"/>
          </w:tcPr>
          <w:p w14:paraId="2EC319C1">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Continue with research therapy.</w:t>
            </w:r>
          </w:p>
        </w:tc>
      </w:tr>
      <w:tr w14:paraId="43E9EEF3">
        <w:trPr>
          <w:cantSplit/>
          <w:jc w:val="center"/>
        </w:trPr>
        <w:tc>
          <w:tcPr>
            <w:tcW w:w="1799" w:type="dxa"/>
            <w:vMerge w:val="continue"/>
          </w:tcPr>
          <w:p w14:paraId="12EC6F14">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01" w:type="dxa"/>
          </w:tcPr>
          <w:p w14:paraId="136E0781">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3</w:t>
            </w:r>
          </w:p>
          <w:p w14:paraId="7F22A8A7">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The rash covers&gt; 30% of BSA, or grade 2 events with significant symptoms</w:t>
            </w:r>
          </w:p>
        </w:tc>
        <w:tc>
          <w:tcPr>
            <w:tcW w:w="3338" w:type="dxa"/>
          </w:tcPr>
          <w:p w14:paraId="6FAD0D7B">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Avoid skin irritation and sun exposure; topical moisturizers are recommended.</w:t>
            </w:r>
          </w:p>
          <w:p w14:paraId="5CEB2530">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Based on clinical judgment, steroids are activated as follows:</w:t>
            </w:r>
          </w:p>
          <w:p w14:paraId="43FE85DE">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For moderate symptoms: oral prednisolone 0.5-1 mg/kg/day for 3 days, followed by gradual reduction over 2-4 weeks.</w:t>
            </w:r>
          </w:p>
          <w:p w14:paraId="166270EA">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For severe symptoms: intravenous methylprednisolone 0.5-1 mg/kg/day; switch to oral prednisolone and gradually reduce the dose for at least 4 weeks.</w:t>
            </w:r>
          </w:p>
        </w:tc>
        <w:tc>
          <w:tcPr>
            <w:tcW w:w="2214" w:type="dxa"/>
          </w:tcPr>
          <w:p w14:paraId="59927DA0">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Study discontinued.</w:t>
            </w:r>
          </w:p>
          <w:p w14:paraId="659C9AC2">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If the adverse event is resolved or improved to a mild rash (grade 1-2), treatment may be resumed.</w:t>
            </w:r>
          </w:p>
        </w:tc>
      </w:tr>
      <w:tr w14:paraId="15D635B5">
        <w:trPr>
          <w:cantSplit/>
          <w:jc w:val="center"/>
        </w:trPr>
        <w:tc>
          <w:tcPr>
            <w:tcW w:w="1799" w:type="dxa"/>
            <w:vMerge w:val="continue"/>
          </w:tcPr>
          <w:p w14:paraId="0080BE64">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01" w:type="dxa"/>
          </w:tcPr>
          <w:p w14:paraId="6614BB32">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4</w:t>
            </w:r>
          </w:p>
          <w:p w14:paraId="445E6833">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&gt; 30% BSA skin exfoliation, accompanied by related symptoms (such as erythema, purpura, epidermal detachment)</w:t>
            </w:r>
          </w:p>
        </w:tc>
        <w:tc>
          <w:tcPr>
            <w:tcW w:w="3338" w:type="dxa"/>
          </w:tcPr>
          <w:p w14:paraId="74D03534">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Methylprednisolone 1-2 mg/kg/day was administered intravenously. Methylprednisolone was switched to oral prednisolone and gradually tapered over at least 4 weeks.</w:t>
            </w:r>
          </w:p>
          <w:p w14:paraId="7296136F">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Hospitalization and urgent dermatology consultation are requested.</w:t>
            </w:r>
          </w:p>
        </w:tc>
        <w:tc>
          <w:tcPr>
            <w:tcW w:w="2214" w:type="dxa"/>
          </w:tcPr>
          <w:p w14:paraId="49712CF3">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Terminate the study.</w:t>
            </w:r>
          </w:p>
        </w:tc>
      </w:tr>
      <w:tr w14:paraId="25AC00CA">
        <w:trPr>
          <w:cantSplit/>
          <w:jc w:val="center"/>
        </w:trPr>
        <w:tc>
          <w:tcPr>
            <w:tcW w:w="1799" w:type="dxa"/>
            <w:vMerge w:val="restart"/>
          </w:tcPr>
          <w:p w14:paraId="55D7198C">
            <w:pPr>
              <w:suppressAutoHyphens/>
              <w:spacing w:before="50" w:after="50" w:line="360" w:lineRule="auto"/>
              <w:jc w:val="left"/>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 xml:space="preserve">hepatitis </w:t>
            </w:r>
          </w:p>
        </w:tc>
        <w:tc>
          <w:tcPr>
            <w:tcW w:w="2301" w:type="dxa"/>
          </w:tcPr>
          <w:p w14:paraId="37FC03ED">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1</w:t>
            </w:r>
          </w:p>
          <w:p w14:paraId="5A2F5C6F">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ALT or AST&gt; ULN to 3 x ULN</w:t>
            </w:r>
          </w:p>
        </w:tc>
        <w:tc>
          <w:tcPr>
            <w:tcW w:w="3338" w:type="dxa"/>
          </w:tcPr>
          <w:p w14:paraId="65F9F726">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Liver function was checked within 1 week and before the next dose to confirm that there was no deterioration.</w:t>
            </w:r>
          </w:p>
          <w:p w14:paraId="418B4B11">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If liver function deteriorates, recheck every 48-72 hours until improvement is observed.</w:t>
            </w:r>
          </w:p>
        </w:tc>
        <w:tc>
          <w:tcPr>
            <w:tcW w:w="2214" w:type="dxa"/>
          </w:tcPr>
          <w:p w14:paraId="17CB91FC">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If there is no change or improvement in liver function, continue with the study treatment.</w:t>
            </w:r>
          </w:p>
          <w:p w14:paraId="77AC3CF8">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If liver function deteriorates, the study treatment is paused until improvement is observed.</w:t>
            </w:r>
          </w:p>
        </w:tc>
      </w:tr>
      <w:tr w14:paraId="2FEAFA36">
        <w:trPr>
          <w:cantSplit/>
          <w:jc w:val="center"/>
        </w:trPr>
        <w:tc>
          <w:tcPr>
            <w:tcW w:w="1799" w:type="dxa"/>
            <w:vMerge w:val="continue"/>
          </w:tcPr>
          <w:p w14:paraId="52A70140">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01" w:type="dxa"/>
          </w:tcPr>
          <w:p w14:paraId="6BE7D31B">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2</w:t>
            </w:r>
          </w:p>
          <w:p w14:paraId="379AB15D">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ALT or AST 3 5  x ULN</w:t>
            </w:r>
          </w:p>
        </w:tc>
        <w:tc>
          <w:tcPr>
            <w:tcW w:w="3338" w:type="dxa"/>
          </w:tcPr>
          <w:p w14:paraId="44930EAF">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Liver function should be rechecked every 48-72 hours:</w:t>
            </w:r>
          </w:p>
          <w:p w14:paraId="58A71781">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If persistent ALT/AST elevation occurs: consider oral prednisolone 0.5-1 mg/kg/day for 3 days followed by gradual tapering over 2-4 weeks.</w:t>
            </w:r>
          </w:p>
          <w:p w14:paraId="1D3D9817">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For elevated ALT/AST: oral prednisolone 1 mg/kg/day was started and gradually reduced over 2-4 weeks; if liver function deteriorated, the dose was increased again based on clinical judgment.</w:t>
            </w:r>
          </w:p>
        </w:tc>
        <w:tc>
          <w:tcPr>
            <w:tcW w:w="2214" w:type="dxa"/>
          </w:tcPr>
          <w:p w14:paraId="5F00773B">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Suspend study treatment and resume treatment if the event is resolved/improved to baseline levels and prednisolone is gradually reduced to ≤ 10 mg.</w:t>
            </w:r>
          </w:p>
        </w:tc>
      </w:tr>
      <w:tr w14:paraId="2982CCD9">
        <w:trPr>
          <w:cantSplit/>
          <w:jc w:val="center"/>
        </w:trPr>
        <w:tc>
          <w:tcPr>
            <w:tcW w:w="1799" w:type="dxa"/>
            <w:vMerge w:val="continue"/>
          </w:tcPr>
          <w:p w14:paraId="648DB30C">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01" w:type="dxa"/>
          </w:tcPr>
          <w:p w14:paraId="2B1AAD80">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3</w:t>
            </w:r>
          </w:p>
          <w:p w14:paraId="397ECEAF">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ALT or AST 5 20  x ULN</w:t>
            </w:r>
          </w:p>
        </w:tc>
        <w:tc>
          <w:tcPr>
            <w:tcW w:w="3338" w:type="dxa"/>
          </w:tcPr>
          <w:p w14:paraId="50CBD87B">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ALT/AST &lt;400 IU/L and bilirubin/intravenous INR/albumin normal: initiate oral prednisolone at 1 mg/kg and taper off gradually for at least 4 weeks.</w:t>
            </w:r>
          </w:p>
          <w:p w14:paraId="373CB668">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ALT/AST&gt; 400 IU/L or elevated bilirubin/increased INR/low albumin: Initiate intravenous administration of (methylnaftoprost) 2 mg/kg/day. If liver function returns to grade 2 or lower levels, switch to oral nasonex and taper off gradually for at least 4 weeks.</w:t>
            </w:r>
          </w:p>
        </w:tc>
        <w:tc>
          <w:tcPr>
            <w:tcW w:w="2214" w:type="dxa"/>
          </w:tcPr>
          <w:p w14:paraId="2F2E97D0">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The study treatment should be discontinued until improvement to baseline levels; only then should treatment be considered resumed.</w:t>
            </w:r>
          </w:p>
        </w:tc>
      </w:tr>
      <w:tr w14:paraId="3D49B9FE">
        <w:trPr>
          <w:cantSplit/>
          <w:jc w:val="center"/>
        </w:trPr>
        <w:tc>
          <w:tcPr>
            <w:tcW w:w="1799" w:type="dxa"/>
            <w:vMerge w:val="continue"/>
          </w:tcPr>
          <w:p w14:paraId="19F962D9">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01" w:type="dxa"/>
          </w:tcPr>
          <w:p w14:paraId="0F51D349">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4</w:t>
            </w:r>
          </w:p>
          <w:p w14:paraId="512350B0">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ALT or AST&gt; 20 x ULN</w:t>
            </w:r>
          </w:p>
        </w:tc>
        <w:tc>
          <w:tcPr>
            <w:tcW w:w="3338" w:type="dxa"/>
          </w:tcPr>
          <w:p w14:paraId="52DB607B">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Methylprednisolone was administered intravenously at 2 mg/kg/day. Oral prednisolone was switched and gradually tapered over a minimum of six weeks.</w:t>
            </w:r>
          </w:p>
        </w:tc>
        <w:tc>
          <w:tcPr>
            <w:tcW w:w="2214" w:type="dxa"/>
          </w:tcPr>
          <w:p w14:paraId="451121C7">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Terminate the study.</w:t>
            </w:r>
          </w:p>
        </w:tc>
      </w:tr>
      <w:tr w14:paraId="17F3870C">
        <w:trPr>
          <w:jc w:val="center"/>
        </w:trPr>
        <w:tc>
          <w:tcPr>
            <w:tcW w:w="1799" w:type="dxa"/>
            <w:vMerge w:val="continue"/>
          </w:tcPr>
          <w:p w14:paraId="507111ED">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7853" w:type="dxa"/>
            <w:gridSpan w:val="3"/>
          </w:tcPr>
          <w:p w14:paraId="1CC983F9">
            <w:pPr>
              <w:suppressAutoHyphens/>
              <w:spacing w:before="50" w:after="50" w:line="360" w:lineRule="auto"/>
              <w:ind w:firstLine="400" w:firstLineChars="200"/>
              <w:jc w:val="left"/>
              <w:rPr>
                <w:rFonts w:ascii="Times New Roman" w:hAnsi="Times New Roman" w:eastAsia="宋体" w:cs="Times New Roman"/>
                <w:b/>
                <w:bCs/>
                <w:color w:val="000000" w:themeColor="text1"/>
                <w:kern w:val="0"/>
                <w:sz w:val="20"/>
                <w:szCs w:val="20"/>
                <w14:textFill>
                  <w14:solidFill>
                    <w14:schemeClr w14:val="tx1"/>
                  </w14:solidFill>
                </w14:textFill>
              </w:rPr>
            </w:pPr>
            <w:r>
              <w:rPr>
                <w:rFonts w:ascii="Times New Roman" w:hAnsi="Times New Roman" w:eastAsia="微软雅黑" w:cs="Times New Roman"/>
                <w:b/>
                <w:bCs/>
                <w:color w:val="000000" w:themeColor="text1"/>
                <w:kern w:val="0"/>
                <w:sz w:val="20"/>
                <w:szCs w:val="20"/>
                <w14:textFill>
                  <w14:solidFill>
                    <w14:schemeClr w14:val="tx1"/>
                  </w14:solidFill>
                </w14:textFill>
              </w:rPr>
              <w:t>Liver function deteriorated despite steroids:</w:t>
            </w:r>
          </w:p>
          <w:p w14:paraId="79D896E2">
            <w:pPr>
              <w:widowControl/>
              <w:numPr>
                <w:ilvl w:val="0"/>
                <w:numId w:val="15"/>
              </w:numPr>
              <w:suppressAutoHyphens/>
              <w:spacing w:before="50" w:after="50" w:line="360" w:lineRule="auto"/>
              <w:ind w:left="780" w:firstLine="400" w:firstLineChars="200"/>
              <w:contextualSpacing/>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If oral prednisolone is given, a pulse of methylprednisolone is administered intravenously.</w:t>
            </w:r>
          </w:p>
          <w:p w14:paraId="05215B7C">
            <w:pPr>
              <w:widowControl/>
              <w:numPr>
                <w:ilvl w:val="0"/>
                <w:numId w:val="15"/>
              </w:numPr>
              <w:suppressAutoHyphens/>
              <w:spacing w:before="50" w:after="50" w:line="360" w:lineRule="auto"/>
              <w:ind w:left="780" w:firstLine="400" w:firstLineChars="200"/>
              <w:contextualSpacing/>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If added, mycophenolate mofetil (MMF) was administered intravenously 500-1000 mg twice daily.</w:t>
            </w:r>
          </w:p>
          <w:p w14:paraId="6BBF4F6E">
            <w:pPr>
              <w:widowControl/>
              <w:numPr>
                <w:ilvl w:val="0"/>
                <w:numId w:val="15"/>
              </w:numPr>
              <w:suppressAutoHyphens/>
              <w:spacing w:before="50" w:after="50" w:line="360" w:lineRule="auto"/>
              <w:ind w:left="780" w:firstLine="400" w:firstLineChars="200"/>
              <w:contextualSpacing/>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If the condition deteriorates during MMF, tacrolimus should be added.</w:t>
            </w:r>
          </w:p>
          <w:p w14:paraId="25570F52">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The duration and dosage of steroids required is determined by the severity of the event.</w:t>
            </w:r>
          </w:p>
        </w:tc>
      </w:tr>
      <w:tr w14:paraId="24AAF66E">
        <w:trPr>
          <w:jc w:val="center"/>
        </w:trPr>
        <w:tc>
          <w:tcPr>
            <w:tcW w:w="1799" w:type="dxa"/>
            <w:vMerge w:val="restart"/>
          </w:tcPr>
          <w:p w14:paraId="74908B0F">
            <w:pPr>
              <w:suppressAutoHyphens/>
              <w:spacing w:before="50" w:after="50" w:line="360" w:lineRule="auto"/>
              <w:jc w:val="left"/>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 xml:space="preserve">nephritis </w:t>
            </w:r>
          </w:p>
        </w:tc>
        <w:tc>
          <w:tcPr>
            <w:tcW w:w="2301" w:type="dxa"/>
          </w:tcPr>
          <w:p w14:paraId="6833A506">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1</w:t>
            </w:r>
          </w:p>
          <w:p w14:paraId="204ECAA5">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Creatinine 1.5 x baseline level</w:t>
            </w:r>
          </w:p>
          <w:p w14:paraId="09C0F243">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Or&gt; ULN to 1.5 x ULN</w:t>
            </w:r>
          </w:p>
        </w:tc>
        <w:tc>
          <w:tcPr>
            <w:tcW w:w="3338" w:type="dxa"/>
          </w:tcPr>
          <w:p w14:paraId="4A1AB168">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Check creatinine once a week.</w:t>
            </w:r>
          </w:p>
          <w:p w14:paraId="7D14BE0A">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If the symptoms worsen, follow these guidelines.</w:t>
            </w:r>
          </w:p>
        </w:tc>
        <w:tc>
          <w:tcPr>
            <w:tcW w:w="2214" w:type="dxa"/>
          </w:tcPr>
          <w:p w14:paraId="5F38E4B6">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Continue with research therapy.</w:t>
            </w:r>
          </w:p>
        </w:tc>
      </w:tr>
      <w:tr w14:paraId="24AFE36C">
        <w:trPr>
          <w:jc w:val="center"/>
        </w:trPr>
        <w:tc>
          <w:tcPr>
            <w:tcW w:w="1799" w:type="dxa"/>
            <w:vMerge w:val="continue"/>
          </w:tcPr>
          <w:p w14:paraId="4DBCAB68">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01" w:type="dxa"/>
          </w:tcPr>
          <w:p w14:paraId="5A089FA1">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2</w:t>
            </w:r>
          </w:p>
          <w:p w14:paraId="17E0BE14">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Glycine&gt; 1.5 x baseline level or&gt; 1.5 x ULN</w:t>
            </w:r>
          </w:p>
        </w:tc>
        <w:tc>
          <w:tcPr>
            <w:tcW w:w="3338" w:type="dxa"/>
          </w:tcPr>
          <w:p w14:paraId="23E8CFE5">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Ensure serum creatinine is tested within 48-72 hours of water intake; if no improvement is observed, creatinine clearance may be measured using 24-hour urine samples. Discuss with nephrologist about the need for a renal biopsy.</w:t>
            </w:r>
          </w:p>
          <w:p w14:paraId="357C5ABC">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If caused by a study drug, oral prednisolone 0.5-1 mg/kg was initiated and gradually tapered over at least two weeks.</w:t>
            </w:r>
          </w:p>
          <w:p w14:paraId="7EB1B044">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Check creatinine /U&amp;E every 48-72 hours.</w:t>
            </w:r>
          </w:p>
        </w:tc>
        <w:tc>
          <w:tcPr>
            <w:tcW w:w="2214" w:type="dxa"/>
          </w:tcPr>
          <w:p w14:paraId="01C415F8">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Study discontinued.</w:t>
            </w:r>
          </w:p>
          <w:p w14:paraId="5A8B88E9">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If it is not caused by the drug's toxicity, treatment can be resumed.</w:t>
            </w:r>
          </w:p>
          <w:p w14:paraId="361026DE">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If caused by the study drug, wait until the event is resolved/improved to baseline: If the dose is gradually reduced to &lt;10 mg of prednisolone, the study drug can be restarted.</w:t>
            </w:r>
          </w:p>
        </w:tc>
      </w:tr>
      <w:tr w14:paraId="6F706AF6">
        <w:trPr>
          <w:jc w:val="center"/>
        </w:trPr>
        <w:tc>
          <w:tcPr>
            <w:tcW w:w="1799" w:type="dxa"/>
            <w:vMerge w:val="continue"/>
          </w:tcPr>
          <w:p w14:paraId="0AB478BC">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01" w:type="dxa"/>
          </w:tcPr>
          <w:p w14:paraId="4888773F">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3</w:t>
            </w:r>
          </w:p>
          <w:p w14:paraId="36539982">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Glucose&gt; 3 x baseline level or&gt; 3-6 x ULN</w:t>
            </w:r>
          </w:p>
        </w:tc>
        <w:tc>
          <w:tcPr>
            <w:tcW w:w="3338" w:type="dxa"/>
          </w:tcPr>
          <w:p w14:paraId="4034E01A">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The patient was hospitalized for monitoring and fluid balance therapy; creatinine was rechecked every 24 hours; a nephrologist was consulted to discuss the need for biopsy. If deterioration occurs, intravenous administration of methylprednisolone 1-2 mg/kg was initiated. Corticosteroids were tapered over at least 4 weeks.</w:t>
            </w:r>
          </w:p>
        </w:tc>
        <w:tc>
          <w:tcPr>
            <w:tcW w:w="2214" w:type="dxa"/>
          </w:tcPr>
          <w:p w14:paraId="4786110C">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Study suspension until cause is identified.</w:t>
            </w:r>
          </w:p>
          <w:p w14:paraId="7D48DDC3">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If a drug is suspected: Discontinue the study treatment.</w:t>
            </w:r>
          </w:p>
        </w:tc>
      </w:tr>
      <w:tr w14:paraId="61CC69CD">
        <w:trPr>
          <w:jc w:val="center"/>
        </w:trPr>
        <w:tc>
          <w:tcPr>
            <w:tcW w:w="1799" w:type="dxa"/>
            <w:vMerge w:val="continue"/>
          </w:tcPr>
          <w:p w14:paraId="46C45993">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01" w:type="dxa"/>
          </w:tcPr>
          <w:p w14:paraId="75AD4021">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4</w:t>
            </w:r>
          </w:p>
          <w:p w14:paraId="12822921">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Glucose&gt; 6 x ULN</w:t>
            </w:r>
          </w:p>
        </w:tc>
        <w:tc>
          <w:tcPr>
            <w:tcW w:w="3338" w:type="dxa"/>
          </w:tcPr>
          <w:p w14:paraId="26708346">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As with level 3, patients should be hospitalized in a hospital where renal replacement therapy is available.</w:t>
            </w:r>
          </w:p>
        </w:tc>
        <w:tc>
          <w:tcPr>
            <w:tcW w:w="2214" w:type="dxa"/>
          </w:tcPr>
          <w:p w14:paraId="4568D551">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Terminate the study.</w:t>
            </w:r>
          </w:p>
        </w:tc>
      </w:tr>
      <w:tr w14:paraId="6AC1CEEA">
        <w:trPr>
          <w:jc w:val="center"/>
        </w:trPr>
        <w:tc>
          <w:tcPr>
            <w:tcW w:w="1799" w:type="dxa"/>
            <w:vMerge w:val="restart"/>
          </w:tcPr>
          <w:p w14:paraId="7A03D475">
            <w:pPr>
              <w:suppressAutoHyphens/>
              <w:spacing w:before="50" w:after="50" w:line="360" w:lineRule="auto"/>
              <w:jc w:val="left"/>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Diabetes/high blood sugar</w:t>
            </w:r>
          </w:p>
        </w:tc>
        <w:tc>
          <w:tcPr>
            <w:tcW w:w="2301" w:type="dxa"/>
          </w:tcPr>
          <w:p w14:paraId="7FFA776C">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1</w:t>
            </w:r>
          </w:p>
          <w:p w14:paraId="46C4723B">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Fasting blood glucose values ranged from ULN to 160 mg/dL; ULN to 8.9 mmol/L</w:t>
            </w:r>
          </w:p>
        </w:tc>
        <w:tc>
          <w:tcPr>
            <w:tcW w:w="3338" w:type="dxa"/>
          </w:tcPr>
          <w:p w14:paraId="795F0EFB">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Monitor closely and treat according to local guidelines. It is recommended to check C-peptide and anti-glutamate decarboxylase and pancreatic cell antibodies.</w:t>
            </w:r>
          </w:p>
        </w:tc>
        <w:tc>
          <w:tcPr>
            <w:tcW w:w="2214" w:type="dxa"/>
          </w:tcPr>
          <w:p w14:paraId="4ECEB34F">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Continue with research therapy.</w:t>
            </w:r>
          </w:p>
        </w:tc>
      </w:tr>
      <w:tr w14:paraId="51DA4510">
        <w:trPr>
          <w:jc w:val="center"/>
        </w:trPr>
        <w:tc>
          <w:tcPr>
            <w:tcW w:w="1799" w:type="dxa"/>
            <w:vMerge w:val="continue"/>
          </w:tcPr>
          <w:p w14:paraId="282BD275">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01" w:type="dxa"/>
          </w:tcPr>
          <w:p w14:paraId="3435981D">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2</w:t>
            </w:r>
          </w:p>
          <w:p w14:paraId="07196090">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Fasting blood glucose 160-250 mg/dL; 8.9-13.9 mmol/L</w:t>
            </w:r>
          </w:p>
        </w:tc>
        <w:tc>
          <w:tcPr>
            <w:tcW w:w="3338" w:type="dxa"/>
          </w:tcPr>
          <w:p w14:paraId="739A277C">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Check blood sugar at least once a week. Follow local guidelines.</w:t>
            </w:r>
          </w:p>
        </w:tc>
        <w:tc>
          <w:tcPr>
            <w:tcW w:w="2214" w:type="dxa"/>
          </w:tcPr>
          <w:p w14:paraId="7BE9C292">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Continue the study treatment if hyperglycemia worsens and discontinue the treatment if blood glucose is stabilized at baseline or level 0-1. Resume the treatment if blood glucose is stabilized at baseline or level 0-1.</w:t>
            </w:r>
          </w:p>
        </w:tc>
      </w:tr>
      <w:tr w14:paraId="5BE66690">
        <w:trPr>
          <w:jc w:val="center"/>
        </w:trPr>
        <w:tc>
          <w:tcPr>
            <w:tcW w:w="1799" w:type="dxa"/>
            <w:vMerge w:val="continue"/>
          </w:tcPr>
          <w:p w14:paraId="3D98518D">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01" w:type="dxa"/>
          </w:tcPr>
          <w:p w14:paraId="177D66CA">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3</w:t>
            </w:r>
          </w:p>
          <w:p w14:paraId="40DD21AF">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Fasting blood glucose 250-500 mg/dL; 13.9-27.8 mmol/L</w:t>
            </w:r>
          </w:p>
        </w:tc>
        <w:tc>
          <w:tcPr>
            <w:tcW w:w="3338" w:type="dxa"/>
          </w:tcPr>
          <w:p w14:paraId="7E62094B">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The patient was hospitalized and consulted a diabetes specialist about how to manage the hyperglycemia. Corticosteroids may exacerbate hyperglycemia and should be avoided.</w:t>
            </w:r>
          </w:p>
        </w:tc>
        <w:tc>
          <w:tcPr>
            <w:tcW w:w="2214" w:type="dxa"/>
            <w:vMerge w:val="restart"/>
            <w:vAlign w:val="center"/>
          </w:tcPr>
          <w:p w14:paraId="120B7078">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The study was suspended until the patient had no symptoms of hyperglycemia, blood glucose stabilized at baseline level or grade 0-1.</w:t>
            </w:r>
          </w:p>
        </w:tc>
      </w:tr>
      <w:tr w14:paraId="23060074">
        <w:trPr>
          <w:jc w:val="center"/>
        </w:trPr>
        <w:tc>
          <w:tcPr>
            <w:tcW w:w="1799" w:type="dxa"/>
            <w:vMerge w:val="continue"/>
          </w:tcPr>
          <w:p w14:paraId="30F97A48">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01" w:type="dxa"/>
          </w:tcPr>
          <w:p w14:paraId="6DD4D912">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4</w:t>
            </w:r>
          </w:p>
          <w:p w14:paraId="19987B3B">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Fasting blood glucose&gt; 500 mg/dL;&gt; 27.8 mmol/L</w:t>
            </w:r>
          </w:p>
        </w:tc>
        <w:tc>
          <w:tcPr>
            <w:tcW w:w="3338" w:type="dxa"/>
          </w:tcPr>
          <w:p w14:paraId="09BC4B4C">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The patient was hospitalized and treated for diabetes in the local emergency department. Consultation with a diabetes specialist is requested to obtain advice on insulin maintenance therapy and monitoring.</w:t>
            </w:r>
          </w:p>
        </w:tc>
        <w:tc>
          <w:tcPr>
            <w:tcW w:w="2214" w:type="dxa"/>
            <w:vMerge w:val="continue"/>
          </w:tcPr>
          <w:p w14:paraId="17A15351">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p>
        </w:tc>
      </w:tr>
      <w:tr w14:paraId="4B79090E">
        <w:trPr>
          <w:jc w:val="center"/>
        </w:trPr>
        <w:tc>
          <w:tcPr>
            <w:tcW w:w="1799" w:type="dxa"/>
            <w:vMerge w:val="restart"/>
          </w:tcPr>
          <w:p w14:paraId="384C1432">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Ocular toxicity</w:t>
            </w:r>
          </w:p>
        </w:tc>
        <w:tc>
          <w:tcPr>
            <w:tcW w:w="2301" w:type="dxa"/>
          </w:tcPr>
          <w:p w14:paraId="59AF8287">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1</w:t>
            </w:r>
          </w:p>
          <w:p w14:paraId="3D2F5002">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Abnormalities in the eye exam without symptoms</w:t>
            </w:r>
          </w:p>
        </w:tc>
        <w:tc>
          <w:tcPr>
            <w:tcW w:w="3338" w:type="dxa"/>
          </w:tcPr>
          <w:p w14:paraId="5B1D23D5">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Consider other causes and prescribe local treatment as needed.</w:t>
            </w:r>
          </w:p>
        </w:tc>
        <w:tc>
          <w:tcPr>
            <w:tcW w:w="2214" w:type="dxa"/>
          </w:tcPr>
          <w:p w14:paraId="07F48AAF">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Continue with research therapy.</w:t>
            </w:r>
          </w:p>
        </w:tc>
      </w:tr>
      <w:tr w14:paraId="0FB7BE42">
        <w:trPr>
          <w:jc w:val="center"/>
        </w:trPr>
        <w:tc>
          <w:tcPr>
            <w:tcW w:w="1799" w:type="dxa"/>
            <w:vMerge w:val="continue"/>
          </w:tcPr>
          <w:p w14:paraId="7D5D41BD">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01" w:type="dxa"/>
          </w:tcPr>
          <w:p w14:paraId="7DAFDFD3">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2</w:t>
            </w:r>
          </w:p>
          <w:p w14:paraId="5F2A9EB5">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Anterior uveitis or mild symptoms</w:t>
            </w:r>
          </w:p>
        </w:tc>
        <w:tc>
          <w:tcPr>
            <w:tcW w:w="3338" w:type="dxa"/>
          </w:tcPr>
          <w:p w14:paraId="011765BE">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Consult an ophthalmologist for evaluation and local corticosteroid therapy. Consider a course of oral steroids.</w:t>
            </w:r>
          </w:p>
        </w:tc>
        <w:tc>
          <w:tcPr>
            <w:tcW w:w="2214" w:type="dxa"/>
          </w:tcPr>
          <w:p w14:paraId="79A6D148">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Continue the study treatment and discontinue the treatment if symptoms worsen or visual impairment occurs.</w:t>
            </w:r>
          </w:p>
        </w:tc>
      </w:tr>
      <w:tr w14:paraId="1DEA4104">
        <w:trPr>
          <w:jc w:val="center"/>
        </w:trPr>
        <w:tc>
          <w:tcPr>
            <w:tcW w:w="1799" w:type="dxa"/>
            <w:vMerge w:val="continue"/>
          </w:tcPr>
          <w:p w14:paraId="170A95D0">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01" w:type="dxa"/>
          </w:tcPr>
          <w:p w14:paraId="0C220A02">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3</w:t>
            </w:r>
          </w:p>
          <w:p w14:paraId="10E6A01C">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Posterior uveitis/panuveitis or significant symptoms</w:t>
            </w:r>
          </w:p>
        </w:tc>
        <w:tc>
          <w:tcPr>
            <w:tcW w:w="3338" w:type="dxa"/>
          </w:tcPr>
          <w:p w14:paraId="7A98FA2E">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Consult an ophthalmologist immediately. Start oral prednisolone 1-2 mg/kg and gradually reduce the dose for at least 4 weeks.</w:t>
            </w:r>
          </w:p>
        </w:tc>
        <w:tc>
          <w:tcPr>
            <w:tcW w:w="2214" w:type="dxa"/>
          </w:tcPr>
          <w:p w14:paraId="59C2B6C3">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The study treatment is suspended until improvement to grade 0-1 and can be resumed only after improvement to grade 0-1.</w:t>
            </w:r>
          </w:p>
        </w:tc>
      </w:tr>
      <w:tr w14:paraId="2153AAC8">
        <w:trPr>
          <w:jc w:val="center"/>
        </w:trPr>
        <w:tc>
          <w:tcPr>
            <w:tcW w:w="1799" w:type="dxa"/>
            <w:vMerge w:val="continue"/>
          </w:tcPr>
          <w:p w14:paraId="3ECCF8B1">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01" w:type="dxa"/>
          </w:tcPr>
          <w:p w14:paraId="586D67A8">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4</w:t>
            </w:r>
          </w:p>
          <w:p w14:paraId="782E6B33">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Affecting eye becomes blind (20/200 or worse)</w:t>
            </w:r>
          </w:p>
        </w:tc>
        <w:tc>
          <w:tcPr>
            <w:tcW w:w="3338" w:type="dxa"/>
          </w:tcPr>
          <w:p w14:paraId="27D37532">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Use intravenous administration of (methylnaftoprost) 2 mg/kg/day. Switch to oral nasonide and taper off gradually for at least 4 weeks.</w:t>
            </w:r>
          </w:p>
        </w:tc>
        <w:tc>
          <w:tcPr>
            <w:tcW w:w="2214" w:type="dxa"/>
          </w:tcPr>
          <w:p w14:paraId="7643C7C4">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Terminate the study.</w:t>
            </w:r>
          </w:p>
        </w:tc>
      </w:tr>
      <w:tr w14:paraId="36E2ED2D">
        <w:trPr>
          <w:jc w:val="center"/>
        </w:trPr>
        <w:tc>
          <w:tcPr>
            <w:tcW w:w="1799" w:type="dxa"/>
            <w:vMerge w:val="restart"/>
          </w:tcPr>
          <w:p w14:paraId="21CB88CF">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 xml:space="preserve">pancreatitis </w:t>
            </w:r>
          </w:p>
        </w:tc>
        <w:tc>
          <w:tcPr>
            <w:tcW w:w="2301" w:type="dxa"/>
          </w:tcPr>
          <w:p w14:paraId="184C31FC">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2</w:t>
            </w:r>
          </w:p>
          <w:p w14:paraId="3E2660A5">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No symptoms, abnormal blood test</w:t>
            </w:r>
          </w:p>
        </w:tc>
        <w:tc>
          <w:tcPr>
            <w:tcW w:w="3338" w:type="dxa"/>
          </w:tcPr>
          <w:p w14:paraId="61567A73">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Monitor pancreatic enzymes</w:t>
            </w:r>
          </w:p>
        </w:tc>
        <w:tc>
          <w:tcPr>
            <w:tcW w:w="2214" w:type="dxa"/>
          </w:tcPr>
          <w:p w14:paraId="4DA465D1">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Continue with research therapy.</w:t>
            </w:r>
          </w:p>
        </w:tc>
      </w:tr>
      <w:tr w14:paraId="07EE3937">
        <w:trPr>
          <w:jc w:val="center"/>
        </w:trPr>
        <w:tc>
          <w:tcPr>
            <w:tcW w:w="1799" w:type="dxa"/>
            <w:vMerge w:val="continue"/>
          </w:tcPr>
          <w:p w14:paraId="3AB1A08E">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01" w:type="dxa"/>
          </w:tcPr>
          <w:p w14:paraId="4B692CD2">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3</w:t>
            </w:r>
          </w:p>
          <w:p w14:paraId="1CE947D6">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Abdominal pain, nausea and vomiting</w:t>
            </w:r>
          </w:p>
        </w:tc>
        <w:tc>
          <w:tcPr>
            <w:tcW w:w="3338" w:type="dxa"/>
          </w:tcPr>
          <w:p w14:paraId="3C75A486">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The patient was hospitalized for emergency treatment. Intravenous administration of methylprednisolone 1-2 mg/kg/day was initiated. If the amylase/lipase levels were reduced to grade 2, oral prednisolone was switched and gradually tapered over at least 4 weeks.</w:t>
            </w:r>
          </w:p>
        </w:tc>
        <w:tc>
          <w:tcPr>
            <w:tcW w:w="2214" w:type="dxa"/>
          </w:tcPr>
          <w:p w14:paraId="083582F9">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The treatment should be suspended before consideration of resuming the treatment.</w:t>
            </w:r>
          </w:p>
        </w:tc>
      </w:tr>
      <w:tr w14:paraId="5B78FAEE">
        <w:trPr>
          <w:jc w:val="center"/>
        </w:trPr>
        <w:tc>
          <w:tcPr>
            <w:tcW w:w="1799" w:type="dxa"/>
            <w:vMerge w:val="continue"/>
          </w:tcPr>
          <w:p w14:paraId="5915B3A4">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01" w:type="dxa"/>
          </w:tcPr>
          <w:p w14:paraId="3099916A">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4</w:t>
            </w:r>
          </w:p>
          <w:p w14:paraId="0E6C6C7F">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Acute abdominal pain, emergency surgery</w:t>
            </w:r>
          </w:p>
        </w:tc>
        <w:tc>
          <w:tcPr>
            <w:tcW w:w="3338" w:type="dxa"/>
          </w:tcPr>
          <w:p w14:paraId="708B0792">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Hospitalization is for emergency treatment and appropriate consultation.</w:t>
            </w:r>
          </w:p>
        </w:tc>
        <w:tc>
          <w:tcPr>
            <w:tcW w:w="2214" w:type="dxa"/>
          </w:tcPr>
          <w:p w14:paraId="20AE582A">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Terminate the study.</w:t>
            </w:r>
          </w:p>
        </w:tc>
      </w:tr>
      <w:tr w14:paraId="4F51E941">
        <w:trPr>
          <w:jc w:val="center"/>
        </w:trPr>
        <w:tc>
          <w:tcPr>
            <w:tcW w:w="1799" w:type="dxa"/>
            <w:vMerge w:val="restart"/>
          </w:tcPr>
          <w:p w14:paraId="4B3F54BA">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 xml:space="preserve">arthritis </w:t>
            </w:r>
          </w:p>
        </w:tc>
        <w:tc>
          <w:tcPr>
            <w:tcW w:w="2301" w:type="dxa"/>
          </w:tcPr>
          <w:p w14:paraId="57A23C5C">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1</w:t>
            </w:r>
          </w:p>
          <w:p w14:paraId="05F278A1">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Mild pain with inflammation and swelling</w:t>
            </w:r>
          </w:p>
        </w:tc>
        <w:tc>
          <w:tcPr>
            <w:tcW w:w="3338" w:type="dxa"/>
          </w:tcPr>
          <w:p w14:paraId="420A7ED9">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Handle according to local guidelines</w:t>
            </w:r>
          </w:p>
        </w:tc>
        <w:tc>
          <w:tcPr>
            <w:tcW w:w="2214" w:type="dxa"/>
          </w:tcPr>
          <w:p w14:paraId="27B113D0">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Continue with research therapy.</w:t>
            </w:r>
          </w:p>
        </w:tc>
      </w:tr>
      <w:tr w14:paraId="2F0247D1">
        <w:trPr>
          <w:jc w:val="center"/>
        </w:trPr>
        <w:tc>
          <w:tcPr>
            <w:tcW w:w="1799" w:type="dxa"/>
            <w:vMerge w:val="continue"/>
          </w:tcPr>
          <w:p w14:paraId="146E4286">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01" w:type="dxa"/>
          </w:tcPr>
          <w:p w14:paraId="64FAD556">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2</w:t>
            </w:r>
          </w:p>
          <w:p w14:paraId="05D72919">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Moderate pain with inflammation, swelling, and limited instrumental activity (fine motor skills)</w:t>
            </w:r>
          </w:p>
        </w:tc>
        <w:tc>
          <w:tcPr>
            <w:tcW w:w="3338" w:type="dxa"/>
          </w:tcPr>
          <w:p w14:paraId="2A506A4B">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Consult a rheumatologist according to local guidelines. If symptoms worsen during treatment, treat as a Level 3 event.</w:t>
            </w:r>
          </w:p>
        </w:tc>
        <w:tc>
          <w:tcPr>
            <w:tcW w:w="2214" w:type="dxa"/>
          </w:tcPr>
          <w:p w14:paraId="6A0A7A4A">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Continue treatment or, if symptoms worsen, discontinue study treatment until the disease improves to baseline levels or grade 0-1.</w:t>
            </w:r>
          </w:p>
        </w:tc>
      </w:tr>
      <w:tr w14:paraId="60E1E6D0">
        <w:trPr>
          <w:jc w:val="center"/>
        </w:trPr>
        <w:tc>
          <w:tcPr>
            <w:tcW w:w="1799" w:type="dxa"/>
            <w:vMerge w:val="continue"/>
          </w:tcPr>
          <w:p w14:paraId="0589FC17">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01" w:type="dxa"/>
          </w:tcPr>
          <w:p w14:paraId="1998A5B2">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3</w:t>
            </w:r>
          </w:p>
          <w:p w14:paraId="10195F01">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Severe pain with inflammation or permanent joint damage, limited daily activities</w:t>
            </w:r>
          </w:p>
        </w:tc>
        <w:tc>
          <w:tcPr>
            <w:tcW w:w="3338" w:type="dxa"/>
          </w:tcPr>
          <w:p w14:paraId="385E6BD3">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Please consult a rheumatologist for urgent evaluation and treatment. Start with oral prednisolone 0.5-1 mg/kg and gradually reduce the dose over at least 4 weeks.</w:t>
            </w:r>
          </w:p>
        </w:tc>
        <w:tc>
          <w:tcPr>
            <w:tcW w:w="2214" w:type="dxa"/>
          </w:tcPr>
          <w:p w14:paraId="195B5BEA">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The study treatment is suspended until improvement to grade 0-1 and can be resumed only after improvement to grade 0-1.</w:t>
            </w:r>
          </w:p>
        </w:tc>
      </w:tr>
      <w:tr w14:paraId="3497EAFD">
        <w:trPr>
          <w:jc w:val="center"/>
        </w:trPr>
        <w:tc>
          <w:tcPr>
            <w:tcW w:w="1799" w:type="dxa"/>
            <w:vMerge w:val="restart"/>
          </w:tcPr>
          <w:p w14:paraId="5560AC5A">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Scleritis/oral inflammation</w:t>
            </w:r>
          </w:p>
        </w:tc>
        <w:tc>
          <w:tcPr>
            <w:tcW w:w="2301" w:type="dxa"/>
          </w:tcPr>
          <w:p w14:paraId="78C0DD05">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1</w:t>
            </w:r>
          </w:p>
          <w:p w14:paraId="19EC1157">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Only detected on examination or with mild symptoms</w:t>
            </w:r>
          </w:p>
        </w:tc>
        <w:tc>
          <w:tcPr>
            <w:tcW w:w="3338" w:type="dxa"/>
          </w:tcPr>
          <w:p w14:paraId="1061E849">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Consider local treatment or analgesics as per local guidelines.</w:t>
            </w:r>
          </w:p>
        </w:tc>
        <w:tc>
          <w:tcPr>
            <w:tcW w:w="2214" w:type="dxa"/>
          </w:tcPr>
          <w:p w14:paraId="1718FC68">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Continue with research therapy.</w:t>
            </w:r>
          </w:p>
        </w:tc>
      </w:tr>
      <w:tr w14:paraId="7CB8287B">
        <w:trPr>
          <w:jc w:val="center"/>
        </w:trPr>
        <w:tc>
          <w:tcPr>
            <w:tcW w:w="1799" w:type="dxa"/>
            <w:vMerge w:val="continue"/>
          </w:tcPr>
          <w:p w14:paraId="431EB125">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01" w:type="dxa"/>
          </w:tcPr>
          <w:p w14:paraId="0B7EABFD">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2</w:t>
            </w:r>
          </w:p>
          <w:p w14:paraId="1598D0B2">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Moderate pain, limited oral feeding and limited instrumental activities</w:t>
            </w:r>
          </w:p>
        </w:tc>
        <w:tc>
          <w:tcPr>
            <w:tcW w:w="3338" w:type="dxa"/>
          </w:tcPr>
          <w:p w14:paraId="228AF097">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Administer analgesics, topical therapy, and oral hygiene care according to local guidelines. Ensure adequate hydration. Manage as a Level 3 event if symptoms worsen or if sepsis or hemorrhage occurs.</w:t>
            </w:r>
          </w:p>
        </w:tc>
        <w:tc>
          <w:tcPr>
            <w:tcW w:w="2214" w:type="dxa"/>
          </w:tcPr>
          <w:p w14:paraId="473CA5F9">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Continue with research therapy.</w:t>
            </w:r>
          </w:p>
        </w:tc>
      </w:tr>
      <w:tr w14:paraId="5A001C76">
        <w:trPr>
          <w:jc w:val="center"/>
        </w:trPr>
        <w:tc>
          <w:tcPr>
            <w:tcW w:w="1799" w:type="dxa"/>
            <w:vMerge w:val="continue"/>
          </w:tcPr>
          <w:p w14:paraId="3FF5ED85">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01" w:type="dxa"/>
          </w:tcPr>
          <w:p w14:paraId="58A5E473">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3</w:t>
            </w:r>
          </w:p>
          <w:p w14:paraId="6F3A0783">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Severe pain, limited eating or drinking, and limited daily activities</w:t>
            </w:r>
          </w:p>
        </w:tc>
        <w:tc>
          <w:tcPr>
            <w:tcW w:w="3338" w:type="dxa"/>
          </w:tcPr>
          <w:p w14:paraId="203F1079">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Hospitalization for appropriate treatment with intravenous administration of methylprednisolone 1-2 mg/kg/day. If symptoms are relieved to level 2, switch to oral prednisolone and taper off gradually for at least 4 weeks.</w:t>
            </w:r>
          </w:p>
        </w:tc>
        <w:tc>
          <w:tcPr>
            <w:tcW w:w="2214" w:type="dxa"/>
          </w:tcPr>
          <w:p w14:paraId="2E67AA61">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The study was suspended until the remission was grade 0-1.</w:t>
            </w:r>
          </w:p>
        </w:tc>
      </w:tr>
      <w:tr w14:paraId="7D08956F">
        <w:trPr>
          <w:jc w:val="center"/>
        </w:trPr>
        <w:tc>
          <w:tcPr>
            <w:tcW w:w="1799" w:type="dxa"/>
            <w:vMerge w:val="continue"/>
          </w:tcPr>
          <w:p w14:paraId="5150B0CF">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01" w:type="dxa"/>
          </w:tcPr>
          <w:p w14:paraId="1F9BDC27">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4</w:t>
            </w:r>
          </w:p>
          <w:p w14:paraId="39598DAC">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There are life-threatening complications or dehydration</w:t>
            </w:r>
          </w:p>
        </w:tc>
        <w:tc>
          <w:tcPr>
            <w:tcW w:w="3338" w:type="dxa"/>
          </w:tcPr>
          <w:p w14:paraId="3B9CE098">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Hospitalization is required for emergency treatment. If contraindications are not present, corticosteroids administered intravenously may be given to manage the infection.</w:t>
            </w:r>
          </w:p>
        </w:tc>
        <w:tc>
          <w:tcPr>
            <w:tcW w:w="2214" w:type="dxa"/>
          </w:tcPr>
          <w:p w14:paraId="0C60EA48">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Terminate the study.</w:t>
            </w:r>
          </w:p>
        </w:tc>
      </w:tr>
      <w:tr w14:paraId="0783E11E">
        <w:trPr>
          <w:jc w:val="center"/>
        </w:trPr>
        <w:tc>
          <w:tcPr>
            <w:tcW w:w="1799" w:type="dxa"/>
            <w:vMerge w:val="restart"/>
          </w:tcPr>
          <w:p w14:paraId="4D59B5E4">
            <w:pPr>
              <w:widowControl/>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Myositis/dysrhotic muscle disease</w:t>
            </w:r>
          </w:p>
        </w:tc>
        <w:tc>
          <w:tcPr>
            <w:tcW w:w="2301" w:type="dxa"/>
          </w:tcPr>
          <w:p w14:paraId="05A3BB55">
            <w:pPr>
              <w:widowControl/>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1</w:t>
            </w:r>
          </w:p>
          <w:p w14:paraId="755654A3">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Mild muscle weakness with or without pain</w:t>
            </w:r>
          </w:p>
        </w:tc>
        <w:tc>
          <w:tcPr>
            <w:tcW w:w="3338" w:type="dxa"/>
          </w:tcPr>
          <w:p w14:paraId="0BF9EA3A">
            <w:pPr>
              <w:widowControl/>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Give painkillers</w:t>
            </w:r>
          </w:p>
          <w:p w14:paraId="0D9B7409">
            <w:pPr>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If CK is significantly elevated and the patient is symptomatic, oral steroids are considered and treated as a grade 2 event</w:t>
            </w:r>
          </w:p>
        </w:tc>
        <w:tc>
          <w:tcPr>
            <w:tcW w:w="2214" w:type="dxa"/>
          </w:tcPr>
          <w:p w14:paraId="1FBF4341">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Continue with research therapy</w:t>
            </w:r>
          </w:p>
        </w:tc>
      </w:tr>
      <w:tr w14:paraId="5749F614">
        <w:trPr>
          <w:jc w:val="center"/>
        </w:trPr>
        <w:tc>
          <w:tcPr>
            <w:tcW w:w="1799" w:type="dxa"/>
            <w:vMerge w:val="continue"/>
          </w:tcPr>
          <w:p w14:paraId="696000D5">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01" w:type="dxa"/>
          </w:tcPr>
          <w:p w14:paraId="230CC96A">
            <w:pPr>
              <w:widowControl/>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2</w:t>
            </w:r>
          </w:p>
          <w:p w14:paraId="3C97BFC6">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Moderate muscle weakness with or without pain</w:t>
            </w:r>
          </w:p>
        </w:tc>
        <w:tc>
          <w:tcPr>
            <w:tcW w:w="3338" w:type="dxa"/>
          </w:tcPr>
          <w:p w14:paraId="24A4E7B9">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If CK is 3 x ULN or worse, start oral prednisolone 0.5-1 mg/kg and gradually reduce the dose after at least 4 weeks.</w:t>
            </w:r>
          </w:p>
        </w:tc>
        <w:tc>
          <w:tcPr>
            <w:tcW w:w="2214" w:type="dxa"/>
          </w:tcPr>
          <w:p w14:paraId="655A610C">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The study was suspended until the remission was grade 0-1</w:t>
            </w:r>
          </w:p>
        </w:tc>
      </w:tr>
      <w:tr w14:paraId="108FCF4D">
        <w:trPr>
          <w:jc w:val="center"/>
        </w:trPr>
        <w:tc>
          <w:tcPr>
            <w:tcW w:w="1799" w:type="dxa"/>
            <w:vMerge w:val="continue"/>
          </w:tcPr>
          <w:p w14:paraId="4B724C9C">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01" w:type="dxa"/>
          </w:tcPr>
          <w:p w14:paraId="7AF1D35C">
            <w:pPr>
              <w:widowControl/>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3-4</w:t>
            </w:r>
          </w:p>
          <w:p w14:paraId="2A4676B2">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Severe myasthenia gravis, limited self-care</w:t>
            </w:r>
          </w:p>
        </w:tc>
        <w:tc>
          <w:tcPr>
            <w:tcW w:w="3338" w:type="dxa"/>
          </w:tcPr>
          <w:p w14:paraId="6C445152">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The patient was hospitalized and started oral prednisolone at 1 mg/kg. For patients with severe limited mobility or dysphagia, intravenous bolus injection of methylprednisolone was considered along with maintenance therapy at 1-2 mg/kg/day. If symptoms did not improve, immunosuppressive therapy was added. Oral steroids were gradually tapered after at least 4 weeks.</w:t>
            </w:r>
          </w:p>
        </w:tc>
        <w:tc>
          <w:tcPr>
            <w:tcW w:w="2214" w:type="dxa"/>
          </w:tcPr>
          <w:p w14:paraId="13F09BA5">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The study is discontinued until the relief is grade 0-1. If any evidence of heart failure is present, treatment is discontinued</w:t>
            </w:r>
          </w:p>
        </w:tc>
      </w:tr>
      <w:tr w14:paraId="1F77E4E2">
        <w:trPr>
          <w:jc w:val="center"/>
        </w:trPr>
        <w:tc>
          <w:tcPr>
            <w:tcW w:w="1799" w:type="dxa"/>
            <w:vMerge w:val="restart"/>
          </w:tcPr>
          <w:p w14:paraId="781085F3">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 xml:space="preserve">carditis </w:t>
            </w:r>
          </w:p>
        </w:tc>
        <w:tc>
          <w:tcPr>
            <w:tcW w:w="2301" w:type="dxa"/>
          </w:tcPr>
          <w:p w14:paraId="2CEFB856">
            <w:pPr>
              <w:widowControl/>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&lt;2</w:t>
            </w:r>
          </w:p>
          <w:p w14:paraId="037F74DE">
            <w:pPr>
              <w:suppressAutoHyphens/>
              <w:spacing w:before="50" w:after="50" w:line="360" w:lineRule="auto"/>
              <w:ind w:firstLine="400" w:firstLineChars="200"/>
              <w:jc w:val="center"/>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Asymptomatic but CK-MB/myocardial troponin elevation or clinically significant intraventricular conduction delay.</w:t>
            </w:r>
          </w:p>
        </w:tc>
        <w:tc>
          <w:tcPr>
            <w:tcW w:w="3338" w:type="dxa"/>
          </w:tcPr>
          <w:p w14:paraId="4BB30FE9">
            <w:pPr>
              <w:widowControl/>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Start close monitoring of serum cardiac markers to assess cardiac status and consider cardiologist consultation.</w:t>
            </w:r>
          </w:p>
          <w:p w14:paraId="6643D5D2">
            <w:pPr>
              <w:widowControl/>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If myocarditis is clearly diagnosed, treatment should be administered at level 2.</w:t>
            </w:r>
          </w:p>
        </w:tc>
        <w:tc>
          <w:tcPr>
            <w:tcW w:w="2214" w:type="dxa"/>
            <w:vMerge w:val="restart"/>
          </w:tcPr>
          <w:p w14:paraId="536EB72C">
            <w:pPr>
              <w:widowControl/>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Study discontinued.</w:t>
            </w:r>
          </w:p>
          <w:p w14:paraId="597603AD">
            <w:pPr>
              <w:widowControl/>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If myocarditis is diagnosed, study treatment should be permanently discontinued in patients with moderate to severe symptoms. For asymptomatic or mild patients, the monoclonal antibody kadoxinil (AK104) should not be reapplied unless cardiac test results return to baseline levels.</w:t>
            </w:r>
          </w:p>
        </w:tc>
      </w:tr>
      <w:tr w14:paraId="1A0F8577">
        <w:trPr>
          <w:jc w:val="center"/>
        </w:trPr>
        <w:tc>
          <w:tcPr>
            <w:tcW w:w="1799" w:type="dxa"/>
            <w:vMerge w:val="continue"/>
          </w:tcPr>
          <w:p w14:paraId="55946E31">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01" w:type="dxa"/>
          </w:tcPr>
          <w:p w14:paraId="3A544191">
            <w:pPr>
              <w:keepNext/>
              <w:keepLines/>
              <w:widowControl/>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2</w:t>
            </w:r>
          </w:p>
          <w:p w14:paraId="4D642381">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Symptoms occur with light to moderate exertion</w:t>
            </w:r>
          </w:p>
        </w:tc>
        <w:tc>
          <w:tcPr>
            <w:tcW w:w="3338" w:type="dxa"/>
            <w:vMerge w:val="restart"/>
          </w:tcPr>
          <w:p w14:paraId="15B2DED0">
            <w:pPr>
              <w:widowControl/>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Go to the hospital and start oral prednisolone or intravenous methylprednisolone 1-2 mg/kg/d. Consult a cardiologist and manage heart failure symptoms according to local guidelines.</w:t>
            </w:r>
          </w:p>
          <w:p w14:paraId="0A1A87F7">
            <w:pPr>
              <w:widowControl/>
              <w:suppressAutoHyphens/>
              <w:spacing w:before="50" w:after="50" w:line="360" w:lineRule="auto"/>
              <w:ind w:firstLine="40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If there is no immediate relief, switch to a daily dose of 1 g of methylprednisolone with MMF, infliximab or anti-thymoglobulin.</w:t>
            </w:r>
          </w:p>
        </w:tc>
        <w:tc>
          <w:tcPr>
            <w:tcW w:w="2214" w:type="dxa"/>
            <w:vMerge w:val="continue"/>
          </w:tcPr>
          <w:p w14:paraId="36DEBD43">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p>
        </w:tc>
      </w:tr>
      <w:tr w14:paraId="5599E1D4">
        <w:trPr>
          <w:jc w:val="center"/>
        </w:trPr>
        <w:tc>
          <w:tcPr>
            <w:tcW w:w="1799" w:type="dxa"/>
            <w:vMerge w:val="continue"/>
          </w:tcPr>
          <w:p w14:paraId="607FDCB4">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01" w:type="dxa"/>
          </w:tcPr>
          <w:p w14:paraId="2442C141">
            <w:pPr>
              <w:widowControl/>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3</w:t>
            </w:r>
          </w:p>
          <w:p w14:paraId="2FFCA89D">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Severe symptoms occur with light exertion</w:t>
            </w:r>
          </w:p>
        </w:tc>
        <w:tc>
          <w:tcPr>
            <w:tcW w:w="3338" w:type="dxa"/>
            <w:vMerge w:val="continue"/>
          </w:tcPr>
          <w:p w14:paraId="0ADD6C40">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214" w:type="dxa"/>
            <w:vMerge w:val="continue"/>
          </w:tcPr>
          <w:p w14:paraId="6B8E853A">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p>
        </w:tc>
      </w:tr>
      <w:tr w14:paraId="02C7A405">
        <w:trPr>
          <w:jc w:val="center"/>
        </w:trPr>
        <w:tc>
          <w:tcPr>
            <w:tcW w:w="1799" w:type="dxa"/>
            <w:vMerge w:val="continue"/>
          </w:tcPr>
          <w:p w14:paraId="0B796141">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301" w:type="dxa"/>
          </w:tcPr>
          <w:p w14:paraId="4A94A8EB">
            <w:pPr>
              <w:widowControl/>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b/>
                <w:color w:val="000000" w:themeColor="text1"/>
                <w:kern w:val="0"/>
                <w:sz w:val="20"/>
                <w:szCs w:val="20"/>
                <w14:textFill>
                  <w14:solidFill>
                    <w14:schemeClr w14:val="tx1"/>
                  </w14:solidFill>
                </w14:textFill>
              </w:rPr>
              <w:t>4</w:t>
            </w:r>
          </w:p>
          <w:p w14:paraId="442122F3">
            <w:pPr>
              <w:suppressAutoHyphens/>
              <w:spacing w:before="50" w:after="50" w:line="360" w:lineRule="auto"/>
              <w:ind w:firstLine="400" w:firstLineChars="200"/>
              <w:jc w:val="center"/>
              <w:rPr>
                <w:rFonts w:ascii="Times New Roman" w:hAnsi="Times New Roman" w:eastAsia="宋体" w:cs="Times New Roman"/>
                <w:b/>
                <w:color w:val="000000" w:themeColor="text1"/>
                <w:kern w:val="0"/>
                <w:sz w:val="20"/>
                <w:szCs w:val="20"/>
                <w14:textFill>
                  <w14:solidFill>
                    <w14:schemeClr w14:val="tx1"/>
                  </w14:solidFill>
                </w14:textFill>
              </w:rPr>
            </w:pPr>
            <w:r>
              <w:rPr>
                <w:rFonts w:ascii="Times New Roman" w:hAnsi="Times New Roman" w:eastAsia="微软雅黑" w:cs="Times New Roman"/>
                <w:color w:val="000000" w:themeColor="text1"/>
                <w:kern w:val="0"/>
                <w:sz w:val="20"/>
                <w:szCs w:val="20"/>
                <w14:textFill>
                  <w14:solidFill>
                    <w14:schemeClr w14:val="tx1"/>
                  </w14:solidFill>
                </w14:textFill>
              </w:rPr>
              <w:t xml:space="preserve">threat to life </w:t>
            </w:r>
          </w:p>
        </w:tc>
        <w:tc>
          <w:tcPr>
            <w:tcW w:w="3338" w:type="dxa"/>
            <w:vMerge w:val="continue"/>
          </w:tcPr>
          <w:p w14:paraId="4646AD7A">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p>
        </w:tc>
        <w:tc>
          <w:tcPr>
            <w:tcW w:w="2214" w:type="dxa"/>
            <w:vMerge w:val="continue"/>
          </w:tcPr>
          <w:p w14:paraId="2079FC10">
            <w:pPr>
              <w:suppressAutoHyphens/>
              <w:spacing w:before="50" w:after="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p>
        </w:tc>
      </w:tr>
    </w:tbl>
    <w:p w14:paraId="6DF353F4">
      <w:pPr>
        <w:spacing w:line="360" w:lineRule="auto"/>
        <w:ind w:firstLineChars="200"/>
        <w:rPr>
          <w:rFonts w:ascii="Times New Roman" w:hAnsi="Times New Roman" w:cs="Times New Roman"/>
        </w:rPr>
      </w:pPr>
      <w:bookmarkStart w:id="223" w:name="_Toc1186097782"/>
      <w:bookmarkStart w:id="224" w:name="_Toc1515922138"/>
      <w:r>
        <w:rPr>
          <w:rFonts w:ascii="Times New Roman" w:hAnsi="Times New Roman" w:cs="Times New Roman"/>
        </w:rPr>
        <w:t>Abbreviations：AE = adverse event; ALT = alanine aminotransferase; ANA = antinuclear antibody; AST = aspartate aminotransferase; CK = creatine kinase; CK-MB = creatine kinase-myocardial band; CNS = central nervous system; CRP = C-reactive protein; CT = computed tomography; DLCO = diffusing capacity of the lungs for carbon monoxide; ECG = electrocardiogram; ESR = erythrocyte sedimentation rate; FBC = full blood count; HIV = human immunodeficiency virus; INR = international normalized ratio; LCI = liver cystolic antigen; LFT = liver function test; LKM = liver-kidney microsomal antibody; LP = liver-pancreas antigen; MRA = magnetic resonance angiography; MRI = magnetic resonance imaging; PCR = polymerase chain reaction; SLA = soluble liver antigen; SMA = smooth muscle antibody; T4 = thyroxine; TFT = thyroid function test; TSH = thyroid-stimulating hormone; UEC = urea, electrolytes, and creatinine.</w:t>
      </w:r>
      <w:bookmarkEnd w:id="223"/>
      <w:bookmarkEnd w:id="224"/>
    </w:p>
    <w:p w14:paraId="398EDA9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swiss"/>
    <w:pitch w:val="default"/>
    <w:sig w:usb0="00000000" w:usb1="00000000" w:usb2="00000016" w:usb3="00000000" w:csb0="0004001F" w:csb1="00000000"/>
  </w:font>
  <w:font w:name="Times New Roman Bold">
    <w:panose1 w:val="02020503050405090304"/>
    <w:charset w:val="00"/>
    <w:family w:val="auto"/>
    <w:pitch w:val="default"/>
    <w:sig w:usb0="E0000AFF" w:usb1="00007843" w:usb2="00000001" w:usb3="00000000" w:csb0="400001BF" w:csb1="DFF70000"/>
  </w:font>
  <w:font w:name="Helvetica Neue">
    <w:panose1 w:val="02000503000000020004"/>
    <w:charset w:val="00"/>
    <w:family w:val="auto"/>
    <w:pitch w:val="default"/>
    <w:sig w:usb0="E50002FF" w:usb1="500079DB" w:usb2="00000010" w:usb3="00000000" w:csb0="00000000" w:csb1="00000000"/>
  </w:font>
  <w:font w:name="Times New Roman Regular">
    <w:panose1 w:val="020205030504050903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3900">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6DF217">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486DF217">
                    <w:pPr>
                      <w:pStyle w:val="9"/>
                    </w:pPr>
                    <w:r>
                      <w:fldChar w:fldCharType="begin"/>
                    </w:r>
                    <w:r>
                      <w:instrText xml:space="preserve"> PAGE  \* MERGEFORMAT </w:instrText>
                    </w:r>
                    <w:r>
                      <w:fldChar w:fldCharType="separate"/>
                    </w:r>
                    <w:r>
                      <w:t>1</w:t>
                    </w:r>
                    <w:r>
                      <w:fldChar w:fldCharType="end"/>
                    </w:r>
                  </w:p>
                </w:txbxContent>
              </v:textbox>
            </v:shape>
          </w:pict>
        </mc:Fallback>
      </mc:AlternateContent>
    </w:r>
    <w:sdt>
      <w:sdtPr>
        <w:id w:val="231586268"/>
        <w:showingPlcHdr/>
      </w:sdtPr>
      <w:sdtContent>
        <w:r>
          <w:t xml:space="preserve">     </w:t>
        </w:r>
      </w:sdtContent>
    </w:sdt>
  </w:p>
  <w:p w14:paraId="29B3A963">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87AB0"/>
    <w:multiLevelType w:val="multilevel"/>
    <w:tmpl w:val="99C87AB0"/>
    <w:lvl w:ilvl="0" w:tentative="0">
      <w:start w:val="1"/>
      <w:numFmt w:val="bullet"/>
      <w:lvlText w:val=""/>
      <w:lvlJc w:val="left"/>
      <w:pPr>
        <w:ind w:left="780" w:hanging="420"/>
      </w:pPr>
      <w:rPr>
        <w:rFonts w:hint="default" w:ascii="Symbol" w:hAnsi="Symbol"/>
        <w:color w:val="auto"/>
        <w:sz w:val="23"/>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1">
    <w:nsid w:val="9D7A29E0"/>
    <w:multiLevelType w:val="multilevel"/>
    <w:tmpl w:val="9D7A29E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ADDDA3DC"/>
    <w:multiLevelType w:val="singleLevel"/>
    <w:tmpl w:val="ADDDA3DC"/>
    <w:lvl w:ilvl="0" w:tentative="0">
      <w:start w:val="1"/>
      <w:numFmt w:val="bullet"/>
      <w:lvlText w:val=""/>
      <w:lvlJc w:val="left"/>
      <w:pPr>
        <w:tabs>
          <w:tab w:val="left" w:pos="840"/>
        </w:tabs>
        <w:ind w:left="1260" w:hanging="420"/>
      </w:pPr>
      <w:rPr>
        <w:rFonts w:hint="default" w:ascii="Wingdings" w:hAnsi="Wingdings"/>
      </w:rPr>
    </w:lvl>
  </w:abstractNum>
  <w:abstractNum w:abstractNumId="3">
    <w:nsid w:val="B06DDDD3"/>
    <w:multiLevelType w:val="multilevel"/>
    <w:tmpl w:val="B06DDDD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B21AEBF7"/>
    <w:multiLevelType w:val="multilevel"/>
    <w:tmpl w:val="B21AEBF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BCEB682A"/>
    <w:multiLevelType w:val="singleLevel"/>
    <w:tmpl w:val="BCEB682A"/>
    <w:lvl w:ilvl="0" w:tentative="0">
      <w:start w:val="1"/>
      <w:numFmt w:val="decimal"/>
      <w:lvlText w:val="%1."/>
      <w:lvlJc w:val="left"/>
      <w:pPr>
        <w:ind w:left="425" w:hanging="425"/>
      </w:pPr>
      <w:rPr>
        <w:rFonts w:hint="default"/>
      </w:rPr>
    </w:lvl>
  </w:abstractNum>
  <w:abstractNum w:abstractNumId="6">
    <w:nsid w:val="BD534AB6"/>
    <w:multiLevelType w:val="multilevel"/>
    <w:tmpl w:val="BD534AB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C93E313D"/>
    <w:multiLevelType w:val="singleLevel"/>
    <w:tmpl w:val="C93E313D"/>
    <w:lvl w:ilvl="0" w:tentative="0">
      <w:start w:val="1"/>
      <w:numFmt w:val="decimal"/>
      <w:suff w:val="space"/>
      <w:lvlText w:val="%1."/>
      <w:lvlJc w:val="left"/>
    </w:lvl>
  </w:abstractNum>
  <w:abstractNum w:abstractNumId="8">
    <w:nsid w:val="D7DDCC37"/>
    <w:multiLevelType w:val="singleLevel"/>
    <w:tmpl w:val="D7DDCC37"/>
    <w:lvl w:ilvl="0" w:tentative="0">
      <w:start w:val="1"/>
      <w:numFmt w:val="bullet"/>
      <w:lvlText w:val=""/>
      <w:lvlJc w:val="left"/>
      <w:pPr>
        <w:ind w:left="420" w:hanging="420"/>
      </w:pPr>
      <w:rPr>
        <w:rFonts w:hint="default" w:ascii="Wingdings" w:hAnsi="Wingdings"/>
      </w:rPr>
    </w:lvl>
  </w:abstractNum>
  <w:abstractNum w:abstractNumId="9">
    <w:nsid w:val="FAC97E3B"/>
    <w:multiLevelType w:val="singleLevel"/>
    <w:tmpl w:val="FAC97E3B"/>
    <w:lvl w:ilvl="0" w:tentative="0">
      <w:start w:val="1"/>
      <w:numFmt w:val="decimal"/>
      <w:suff w:val="nothing"/>
      <w:lvlText w:val="%1-"/>
      <w:lvlJc w:val="left"/>
    </w:lvl>
  </w:abstractNum>
  <w:abstractNum w:abstractNumId="10">
    <w:nsid w:val="FDB7B31D"/>
    <w:multiLevelType w:val="multilevel"/>
    <w:tmpl w:val="FDB7B31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
    <w:nsid w:val="FDDE40B5"/>
    <w:multiLevelType w:val="multilevel"/>
    <w:tmpl w:val="FDDE40B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rPr>
    </w:lvl>
    <w:lvl w:ilvl="2" w:tentative="0">
      <w:start w:val="1"/>
      <w:numFmt w:val="bullet"/>
      <w:lvlText w:val=""/>
      <w:lvlJc w:val="left"/>
      <w:pPr>
        <w:tabs>
          <w:tab w:val="left" w:pos="1260"/>
        </w:tabs>
        <w:ind w:left="1260" w:hanging="420"/>
      </w:pPr>
      <w:rPr>
        <w:rFonts w:hint="default"/>
      </w:rPr>
    </w:lvl>
    <w:lvl w:ilvl="3" w:tentative="0">
      <w:start w:val="1"/>
      <w:numFmt w:val="bullet"/>
      <w:lvlText w:val=""/>
      <w:lvlJc w:val="left"/>
      <w:pPr>
        <w:tabs>
          <w:tab w:val="left" w:pos="1680"/>
        </w:tabs>
        <w:ind w:left="1680" w:hanging="420"/>
      </w:pPr>
      <w:rPr>
        <w:rFonts w:hint="default"/>
      </w:rPr>
    </w:lvl>
    <w:lvl w:ilvl="4" w:tentative="0">
      <w:start w:val="1"/>
      <w:numFmt w:val="bullet"/>
      <w:lvlText w:val=""/>
      <w:lvlJc w:val="left"/>
      <w:pPr>
        <w:tabs>
          <w:tab w:val="left" w:pos="2100"/>
        </w:tabs>
        <w:ind w:left="2100" w:hanging="420"/>
      </w:pPr>
      <w:rPr>
        <w:rFonts w:hint="default"/>
      </w:rPr>
    </w:lvl>
    <w:lvl w:ilvl="5" w:tentative="0">
      <w:start w:val="1"/>
      <w:numFmt w:val="bullet"/>
      <w:lvlText w:val=""/>
      <w:lvlJc w:val="left"/>
      <w:pPr>
        <w:tabs>
          <w:tab w:val="left" w:pos="2520"/>
        </w:tabs>
        <w:ind w:left="2520" w:hanging="420"/>
      </w:pPr>
      <w:rPr>
        <w:rFonts w:hint="default"/>
      </w:rPr>
    </w:lvl>
    <w:lvl w:ilvl="6" w:tentative="0">
      <w:start w:val="1"/>
      <w:numFmt w:val="bullet"/>
      <w:lvlText w:val=""/>
      <w:lvlJc w:val="left"/>
      <w:pPr>
        <w:tabs>
          <w:tab w:val="left" w:pos="2940"/>
        </w:tabs>
        <w:ind w:left="2940" w:hanging="420"/>
      </w:pPr>
      <w:rPr>
        <w:rFonts w:hint="default"/>
      </w:rPr>
    </w:lvl>
    <w:lvl w:ilvl="7" w:tentative="0">
      <w:start w:val="1"/>
      <w:numFmt w:val="bullet"/>
      <w:lvlText w:val=""/>
      <w:lvlJc w:val="left"/>
      <w:pPr>
        <w:tabs>
          <w:tab w:val="left" w:pos="3360"/>
        </w:tabs>
        <w:ind w:left="3360" w:hanging="420"/>
      </w:pPr>
      <w:rPr>
        <w:rFonts w:hint="default"/>
      </w:rPr>
    </w:lvl>
    <w:lvl w:ilvl="8" w:tentative="0">
      <w:start w:val="1"/>
      <w:numFmt w:val="bullet"/>
      <w:lvlText w:val=""/>
      <w:lvlJc w:val="left"/>
      <w:pPr>
        <w:tabs>
          <w:tab w:val="left" w:pos="3780"/>
        </w:tabs>
        <w:ind w:left="3780" w:hanging="420"/>
      </w:pPr>
      <w:rPr>
        <w:rFonts w:hint="default"/>
      </w:rPr>
    </w:lvl>
  </w:abstractNum>
  <w:abstractNum w:abstractNumId="12">
    <w:nsid w:val="FFEA60B7"/>
    <w:multiLevelType w:val="singleLevel"/>
    <w:tmpl w:val="FFEA60B7"/>
    <w:lvl w:ilvl="0" w:tentative="0">
      <w:start w:val="1"/>
      <w:numFmt w:val="lowerLetter"/>
      <w:lvlText w:val="%1."/>
      <w:lvlJc w:val="left"/>
      <w:pPr>
        <w:tabs>
          <w:tab w:val="left" w:pos="840"/>
        </w:tabs>
        <w:ind w:left="1265" w:hanging="425"/>
      </w:pPr>
      <w:rPr>
        <w:rFonts w:hint="default"/>
      </w:rPr>
    </w:lvl>
  </w:abstractNum>
  <w:abstractNum w:abstractNumId="13">
    <w:nsid w:val="5F7ECF9E"/>
    <w:multiLevelType w:val="singleLevel"/>
    <w:tmpl w:val="5F7ECF9E"/>
    <w:lvl w:ilvl="0" w:tentative="0">
      <w:start w:val="1"/>
      <w:numFmt w:val="bullet"/>
      <w:lvlText w:val=""/>
      <w:lvlJc w:val="left"/>
      <w:pPr>
        <w:ind w:left="420" w:hanging="420"/>
      </w:pPr>
      <w:rPr>
        <w:rFonts w:hint="default" w:ascii="Wingdings" w:hAnsi="Wingdings"/>
      </w:rPr>
    </w:lvl>
  </w:abstractNum>
  <w:abstractNum w:abstractNumId="14">
    <w:nsid w:val="7DBA5640"/>
    <w:multiLevelType w:val="singleLevel"/>
    <w:tmpl w:val="7DBA5640"/>
    <w:lvl w:ilvl="0" w:tentative="0">
      <w:start w:val="1"/>
      <w:numFmt w:val="decimal"/>
      <w:lvlText w:val="%1."/>
      <w:lvlJc w:val="left"/>
      <w:pPr>
        <w:ind w:left="425" w:hanging="425"/>
      </w:pPr>
      <w:rPr>
        <w:rFonts w:hint="default"/>
      </w:rPr>
    </w:lvl>
  </w:abstractNum>
  <w:num w:numId="1">
    <w:abstractNumId w:val="8"/>
  </w:num>
  <w:num w:numId="2">
    <w:abstractNumId w:val="14"/>
  </w:num>
  <w:num w:numId="3">
    <w:abstractNumId w:val="6"/>
  </w:num>
  <w:num w:numId="4">
    <w:abstractNumId w:val="11"/>
  </w:num>
  <w:num w:numId="5">
    <w:abstractNumId w:val="13"/>
  </w:num>
  <w:num w:numId="6">
    <w:abstractNumId w:val="12"/>
  </w:num>
  <w:num w:numId="7">
    <w:abstractNumId w:val="2"/>
  </w:num>
  <w:num w:numId="8">
    <w:abstractNumId w:val="9"/>
  </w:num>
  <w:num w:numId="9">
    <w:abstractNumId w:val="5"/>
  </w:num>
  <w:num w:numId="10">
    <w:abstractNumId w:val="7"/>
  </w:num>
  <w:num w:numId="11">
    <w:abstractNumId w:val="3"/>
  </w:num>
  <w:num w:numId="12">
    <w:abstractNumId w:val="10"/>
  </w:num>
  <w:num w:numId="13">
    <w:abstractNumId w:val="1"/>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FB12E8"/>
    <w:rsid w:val="00000BD5"/>
    <w:rsid w:val="00001D8E"/>
    <w:rsid w:val="000168C9"/>
    <w:rsid w:val="00057445"/>
    <w:rsid w:val="0013356A"/>
    <w:rsid w:val="00151B18"/>
    <w:rsid w:val="0019447C"/>
    <w:rsid w:val="002976A1"/>
    <w:rsid w:val="00355BF3"/>
    <w:rsid w:val="004437E5"/>
    <w:rsid w:val="004E2C36"/>
    <w:rsid w:val="005121C4"/>
    <w:rsid w:val="00586A42"/>
    <w:rsid w:val="005B2A46"/>
    <w:rsid w:val="00687989"/>
    <w:rsid w:val="007561A0"/>
    <w:rsid w:val="007C3FD7"/>
    <w:rsid w:val="0081049A"/>
    <w:rsid w:val="008C2C48"/>
    <w:rsid w:val="009137D7"/>
    <w:rsid w:val="00967F0D"/>
    <w:rsid w:val="0097334E"/>
    <w:rsid w:val="00975FE3"/>
    <w:rsid w:val="00A34E42"/>
    <w:rsid w:val="00A95AE0"/>
    <w:rsid w:val="00AF4D25"/>
    <w:rsid w:val="00AF67A0"/>
    <w:rsid w:val="00B50209"/>
    <w:rsid w:val="00B51882"/>
    <w:rsid w:val="00BD5FE6"/>
    <w:rsid w:val="00C05127"/>
    <w:rsid w:val="00C32733"/>
    <w:rsid w:val="00CD596E"/>
    <w:rsid w:val="00DA795E"/>
    <w:rsid w:val="00F24311"/>
    <w:rsid w:val="00F31858"/>
    <w:rsid w:val="0FDB4A97"/>
    <w:rsid w:val="13DD6DE2"/>
    <w:rsid w:val="17CF131A"/>
    <w:rsid w:val="19E72129"/>
    <w:rsid w:val="1BFA77D8"/>
    <w:rsid w:val="1FF70D39"/>
    <w:rsid w:val="1FFD6F1E"/>
    <w:rsid w:val="1FFE4885"/>
    <w:rsid w:val="25F96F9E"/>
    <w:rsid w:val="27FC74D8"/>
    <w:rsid w:val="346D97AA"/>
    <w:rsid w:val="36BF67BF"/>
    <w:rsid w:val="36FFD677"/>
    <w:rsid w:val="371F59F2"/>
    <w:rsid w:val="37F998C2"/>
    <w:rsid w:val="3B6A961C"/>
    <w:rsid w:val="3D8BC9FD"/>
    <w:rsid w:val="3EFFEB74"/>
    <w:rsid w:val="3FCFB290"/>
    <w:rsid w:val="3FDEC529"/>
    <w:rsid w:val="3FFA380A"/>
    <w:rsid w:val="3FFB46F3"/>
    <w:rsid w:val="3FFC6FF0"/>
    <w:rsid w:val="3FFF36AF"/>
    <w:rsid w:val="3FFF7943"/>
    <w:rsid w:val="43F70121"/>
    <w:rsid w:val="4BABFBAC"/>
    <w:rsid w:val="4D163E7C"/>
    <w:rsid w:val="4D7E2989"/>
    <w:rsid w:val="51FEFC50"/>
    <w:rsid w:val="53BFAA9D"/>
    <w:rsid w:val="55772940"/>
    <w:rsid w:val="55CFF25F"/>
    <w:rsid w:val="569E1501"/>
    <w:rsid w:val="56AF180A"/>
    <w:rsid w:val="577FB918"/>
    <w:rsid w:val="57BFC287"/>
    <w:rsid w:val="57ED41EC"/>
    <w:rsid w:val="57F920F2"/>
    <w:rsid w:val="59CF9FE8"/>
    <w:rsid w:val="59DD6230"/>
    <w:rsid w:val="5B2AC738"/>
    <w:rsid w:val="5C9364F9"/>
    <w:rsid w:val="5CF71BFC"/>
    <w:rsid w:val="5DFF7401"/>
    <w:rsid w:val="5F3D173E"/>
    <w:rsid w:val="5FAF6168"/>
    <w:rsid w:val="5FD468F6"/>
    <w:rsid w:val="5FF5055C"/>
    <w:rsid w:val="5FFB3664"/>
    <w:rsid w:val="5FFE3933"/>
    <w:rsid w:val="66360F2C"/>
    <w:rsid w:val="6C86918A"/>
    <w:rsid w:val="6D951098"/>
    <w:rsid w:val="6F5735FC"/>
    <w:rsid w:val="6F7BEF9A"/>
    <w:rsid w:val="6FDB9611"/>
    <w:rsid w:val="6FF6A583"/>
    <w:rsid w:val="6FFD6FED"/>
    <w:rsid w:val="70F7A44F"/>
    <w:rsid w:val="71BDAA27"/>
    <w:rsid w:val="71C3806F"/>
    <w:rsid w:val="73BF83A6"/>
    <w:rsid w:val="73EB7E42"/>
    <w:rsid w:val="74DFB168"/>
    <w:rsid w:val="75E7B5A5"/>
    <w:rsid w:val="75EB7894"/>
    <w:rsid w:val="769AFE53"/>
    <w:rsid w:val="773D8EA2"/>
    <w:rsid w:val="777BBBE6"/>
    <w:rsid w:val="77C3F107"/>
    <w:rsid w:val="77C5E4A9"/>
    <w:rsid w:val="77FAE44B"/>
    <w:rsid w:val="77FD3201"/>
    <w:rsid w:val="77FF3C1C"/>
    <w:rsid w:val="77FF6BCF"/>
    <w:rsid w:val="77FFD1FD"/>
    <w:rsid w:val="7919A7E8"/>
    <w:rsid w:val="79EE5DE5"/>
    <w:rsid w:val="7AF5516B"/>
    <w:rsid w:val="7AFFFEC8"/>
    <w:rsid w:val="7B5E2EA0"/>
    <w:rsid w:val="7B5F6E96"/>
    <w:rsid w:val="7B74BD65"/>
    <w:rsid w:val="7B7FE147"/>
    <w:rsid w:val="7B884F93"/>
    <w:rsid w:val="7BCE00A3"/>
    <w:rsid w:val="7BD7FC7C"/>
    <w:rsid w:val="7BFB12E8"/>
    <w:rsid w:val="7CB5C65E"/>
    <w:rsid w:val="7CD7A7B8"/>
    <w:rsid w:val="7D33DCBD"/>
    <w:rsid w:val="7D3E0E72"/>
    <w:rsid w:val="7D4093D0"/>
    <w:rsid w:val="7DFD2FA5"/>
    <w:rsid w:val="7E85DBBB"/>
    <w:rsid w:val="7EBDC07B"/>
    <w:rsid w:val="7EEFBD9C"/>
    <w:rsid w:val="7EFB94E1"/>
    <w:rsid w:val="7EFD8114"/>
    <w:rsid w:val="7F0D5920"/>
    <w:rsid w:val="7F36EDC9"/>
    <w:rsid w:val="7F455D0E"/>
    <w:rsid w:val="7F4BC813"/>
    <w:rsid w:val="7F7BA560"/>
    <w:rsid w:val="7F7F49D1"/>
    <w:rsid w:val="7F7FA961"/>
    <w:rsid w:val="7F8A6D1C"/>
    <w:rsid w:val="7F9FD761"/>
    <w:rsid w:val="7F9FF016"/>
    <w:rsid w:val="7FBCDC1A"/>
    <w:rsid w:val="7FBD7C40"/>
    <w:rsid w:val="7FBE90BB"/>
    <w:rsid w:val="7FBF678C"/>
    <w:rsid w:val="7FCDCE9B"/>
    <w:rsid w:val="7FDE3C09"/>
    <w:rsid w:val="7FDFA243"/>
    <w:rsid w:val="7FEBD970"/>
    <w:rsid w:val="7FEDD9BA"/>
    <w:rsid w:val="7FEF1394"/>
    <w:rsid w:val="7FF8904A"/>
    <w:rsid w:val="7FF9A17A"/>
    <w:rsid w:val="7FF9ED63"/>
    <w:rsid w:val="7FFA4056"/>
    <w:rsid w:val="7FFF43F8"/>
    <w:rsid w:val="99F3DD7A"/>
    <w:rsid w:val="9BE79171"/>
    <w:rsid w:val="9EAF9A37"/>
    <w:rsid w:val="9FBA8F7E"/>
    <w:rsid w:val="9FFD0A56"/>
    <w:rsid w:val="9FFD4535"/>
    <w:rsid w:val="9FFEC5CB"/>
    <w:rsid w:val="AD1FD900"/>
    <w:rsid w:val="AFBC7031"/>
    <w:rsid w:val="AFF732C7"/>
    <w:rsid w:val="AFFA567B"/>
    <w:rsid w:val="B5CFFE5D"/>
    <w:rsid w:val="B5FF5449"/>
    <w:rsid w:val="B6BFE916"/>
    <w:rsid w:val="B7770828"/>
    <w:rsid w:val="B7FD7012"/>
    <w:rsid w:val="BBFBC63C"/>
    <w:rsid w:val="BCFA07A4"/>
    <w:rsid w:val="BDED7CBE"/>
    <w:rsid w:val="BDFE2D5B"/>
    <w:rsid w:val="BEE7431E"/>
    <w:rsid w:val="BF43D610"/>
    <w:rsid w:val="BF5F9A6E"/>
    <w:rsid w:val="BF7F6F24"/>
    <w:rsid w:val="BF9BB277"/>
    <w:rsid w:val="BFBDC3C0"/>
    <w:rsid w:val="BFCB82E9"/>
    <w:rsid w:val="BFEB353B"/>
    <w:rsid w:val="BFFDD2F8"/>
    <w:rsid w:val="CCE7BF59"/>
    <w:rsid w:val="CE4FCB4A"/>
    <w:rsid w:val="D5EF75E0"/>
    <w:rsid w:val="D5FD4EC6"/>
    <w:rsid w:val="D776A578"/>
    <w:rsid w:val="D7FF5F26"/>
    <w:rsid w:val="DD9B2484"/>
    <w:rsid w:val="DE67E95F"/>
    <w:rsid w:val="DF9F4C85"/>
    <w:rsid w:val="DF9F5793"/>
    <w:rsid w:val="DFBF1E3A"/>
    <w:rsid w:val="DFF934C2"/>
    <w:rsid w:val="DFFE06F9"/>
    <w:rsid w:val="E0F38C11"/>
    <w:rsid w:val="E2B52A3F"/>
    <w:rsid w:val="E6FF039A"/>
    <w:rsid w:val="EAD66624"/>
    <w:rsid w:val="EE27B0B3"/>
    <w:rsid w:val="EEB1C9E1"/>
    <w:rsid w:val="EED77404"/>
    <w:rsid w:val="EEFE8BB4"/>
    <w:rsid w:val="EF3DF189"/>
    <w:rsid w:val="EF46D037"/>
    <w:rsid w:val="EFBFE987"/>
    <w:rsid w:val="EFDFBB3A"/>
    <w:rsid w:val="EFF867C5"/>
    <w:rsid w:val="F27CD47A"/>
    <w:rsid w:val="F35F9F16"/>
    <w:rsid w:val="F3FFC3CC"/>
    <w:rsid w:val="F56EBFDA"/>
    <w:rsid w:val="F5F89456"/>
    <w:rsid w:val="F6DF56E4"/>
    <w:rsid w:val="F6EFBD27"/>
    <w:rsid w:val="F6F97784"/>
    <w:rsid w:val="F6FF13C3"/>
    <w:rsid w:val="F6FFD8E0"/>
    <w:rsid w:val="F9FD8311"/>
    <w:rsid w:val="FB7FA9F3"/>
    <w:rsid w:val="FBDF3A17"/>
    <w:rsid w:val="FBF56571"/>
    <w:rsid w:val="FBFE60BC"/>
    <w:rsid w:val="FCBFB6CD"/>
    <w:rsid w:val="FD0BF605"/>
    <w:rsid w:val="FDB7896F"/>
    <w:rsid w:val="FDEBCE10"/>
    <w:rsid w:val="FDFF9C31"/>
    <w:rsid w:val="FE4FB0E6"/>
    <w:rsid w:val="FE6979C6"/>
    <w:rsid w:val="FE7F0E7C"/>
    <w:rsid w:val="FEABF63E"/>
    <w:rsid w:val="FEBECAAF"/>
    <w:rsid w:val="FEF45485"/>
    <w:rsid w:val="FEFB3404"/>
    <w:rsid w:val="FEFE1EA9"/>
    <w:rsid w:val="FF347CA6"/>
    <w:rsid w:val="FF37957A"/>
    <w:rsid w:val="FF77F018"/>
    <w:rsid w:val="FF969622"/>
    <w:rsid w:val="FFBCC27E"/>
    <w:rsid w:val="FFEBA4D0"/>
    <w:rsid w:val="FFEFE72B"/>
    <w:rsid w:val="FFF2E301"/>
    <w:rsid w:val="FFF83AD2"/>
    <w:rsid w:val="FFFB3461"/>
    <w:rsid w:val="FFFDD45B"/>
    <w:rsid w:val="FFFECF6F"/>
    <w:rsid w:val="FFFF9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24"/>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1"/>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5">
    <w:name w:val="heading 4"/>
    <w:basedOn w:val="1"/>
    <w:next w:val="1"/>
    <w:link w:val="23"/>
    <w:unhideWhenUsed/>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link w:val="22"/>
    <w:semiHidden/>
    <w:unhideWhenUsed/>
    <w:qFormat/>
    <w:uiPriority w:val="0"/>
    <w:pPr>
      <w:keepNext/>
      <w:keepLines/>
      <w:spacing w:before="280" w:after="290" w:line="372" w:lineRule="auto"/>
      <w:outlineLvl w:val="4"/>
    </w:pPr>
    <w:rPr>
      <w:b/>
      <w:sz w:val="28"/>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5"/>
    <w:uiPriority w:val="0"/>
    <w:pPr>
      <w:jc w:val="left"/>
    </w:pPr>
  </w:style>
  <w:style w:type="paragraph" w:styleId="8">
    <w:name w:val="toc 3"/>
    <w:basedOn w:val="1"/>
    <w:next w:val="1"/>
    <w:uiPriority w:val="0"/>
    <w:pPr>
      <w:ind w:left="840" w:leftChars="400"/>
    </w:p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uiPriority w:val="0"/>
  </w:style>
  <w:style w:type="paragraph" w:styleId="12">
    <w:name w:val="toc 2"/>
    <w:basedOn w:val="1"/>
    <w:next w:val="1"/>
    <w:uiPriority w:val="0"/>
    <w:pPr>
      <w:ind w:left="420" w:leftChars="200"/>
    </w:pPr>
  </w:style>
  <w:style w:type="paragraph" w:styleId="13">
    <w:name w:val="Normal (Web)"/>
    <w:basedOn w:val="1"/>
    <w:uiPriority w:val="0"/>
    <w:pPr>
      <w:spacing w:beforeAutospacing="1" w:afterAutospacing="1"/>
      <w:jc w:val="left"/>
    </w:pPr>
    <w:rPr>
      <w:rFonts w:cs="Times New Roman"/>
      <w:kern w:val="0"/>
      <w:sz w:val="24"/>
    </w:rPr>
  </w:style>
  <w:style w:type="paragraph" w:styleId="14">
    <w:name w:val="annotation subject"/>
    <w:basedOn w:val="7"/>
    <w:next w:val="7"/>
    <w:link w:val="36"/>
    <w:uiPriority w:val="0"/>
    <w:rPr>
      <w:b/>
      <w:bCs/>
    </w:rPr>
  </w:style>
  <w:style w:type="character" w:styleId="17">
    <w:name w:val="Strong"/>
    <w:basedOn w:val="16"/>
    <w:qFormat/>
    <w:uiPriority w:val="0"/>
    <w:rPr>
      <w:b/>
    </w:rPr>
  </w:style>
  <w:style w:type="character" w:styleId="18">
    <w:name w:val="annotation reference"/>
    <w:basedOn w:val="16"/>
    <w:uiPriority w:val="0"/>
    <w:rPr>
      <w:sz w:val="21"/>
      <w:szCs w:val="21"/>
    </w:rPr>
  </w:style>
  <w:style w:type="character" w:customStyle="1" w:styleId="19">
    <w:name w:val="font11"/>
    <w:basedOn w:val="16"/>
    <w:uiPriority w:val="0"/>
    <w:rPr>
      <w:rFonts w:hint="eastAsia" w:ascii="宋体" w:hAnsi="宋体" w:eastAsia="宋体" w:cs="宋体"/>
      <w:b/>
      <w:bCs/>
      <w:color w:val="000000"/>
      <w:sz w:val="22"/>
      <w:szCs w:val="22"/>
      <w:u w:val="none"/>
    </w:rPr>
  </w:style>
  <w:style w:type="character" w:customStyle="1" w:styleId="20">
    <w:name w:val="font01"/>
    <w:basedOn w:val="16"/>
    <w:uiPriority w:val="0"/>
    <w:rPr>
      <w:rFonts w:hint="eastAsia" w:ascii="宋体" w:hAnsi="宋体" w:eastAsia="宋体" w:cs="宋体"/>
      <w:color w:val="000000"/>
      <w:sz w:val="22"/>
      <w:szCs w:val="22"/>
      <w:u w:val="none"/>
    </w:rPr>
  </w:style>
  <w:style w:type="character" w:customStyle="1" w:styleId="21">
    <w:name w:val="标题 3 字符"/>
    <w:link w:val="4"/>
    <w:uiPriority w:val="0"/>
    <w:rPr>
      <w:rFonts w:hint="eastAsia" w:ascii="宋体" w:hAnsi="宋体" w:eastAsia="宋体" w:cs="宋体"/>
      <w:b/>
      <w:bCs/>
      <w:kern w:val="0"/>
      <w:sz w:val="27"/>
      <w:szCs w:val="27"/>
      <w:lang w:val="en-US" w:eastAsia="zh-CN" w:bidi="ar"/>
    </w:rPr>
  </w:style>
  <w:style w:type="character" w:customStyle="1" w:styleId="22">
    <w:name w:val="标题 5 字符"/>
    <w:link w:val="6"/>
    <w:uiPriority w:val="0"/>
    <w:rPr>
      <w:b/>
      <w:sz w:val="28"/>
    </w:rPr>
  </w:style>
  <w:style w:type="character" w:customStyle="1" w:styleId="23">
    <w:name w:val="标题 4 字符"/>
    <w:link w:val="5"/>
    <w:uiPriority w:val="0"/>
    <w:rPr>
      <w:rFonts w:ascii="Arial" w:hAnsi="Arial" w:eastAsia="黑体"/>
      <w:b/>
      <w:sz w:val="28"/>
    </w:rPr>
  </w:style>
  <w:style w:type="character" w:customStyle="1" w:styleId="24">
    <w:name w:val="标题 2 字符"/>
    <w:link w:val="3"/>
    <w:uiPriority w:val="0"/>
    <w:rPr>
      <w:rFonts w:ascii="Arial" w:hAnsi="Arial" w:eastAsia="黑体"/>
      <w:b/>
      <w:sz w:val="32"/>
    </w:rPr>
  </w:style>
  <w:style w:type="paragraph" w:customStyle="1" w:styleId="25">
    <w:name w:val="indent"/>
    <w:qFormat/>
    <w:uiPriority w:val="0"/>
    <w:pPr>
      <w:ind w:firstLine="420"/>
    </w:pPr>
    <w:rPr>
      <w:rFonts w:cs="Times New Roman" w:asciiTheme="minorHAnsi" w:hAnsiTheme="minorHAnsi" w:eastAsiaTheme="minorEastAsia"/>
      <w:sz w:val="24"/>
      <w:szCs w:val="24"/>
      <w:lang w:val="en-US" w:eastAsia="zh-CN" w:bidi="ar-SA"/>
    </w:rPr>
  </w:style>
  <w:style w:type="character" w:customStyle="1" w:styleId="26">
    <w:name w:val="underline1"/>
    <w:basedOn w:val="16"/>
    <w:uiPriority w:val="0"/>
    <w:rPr>
      <w:u w:val="single"/>
    </w:rPr>
  </w:style>
  <w:style w:type="character" w:customStyle="1" w:styleId="27">
    <w:name w:val="font31"/>
    <w:basedOn w:val="16"/>
    <w:uiPriority w:val="0"/>
    <w:rPr>
      <w:rFonts w:hint="eastAsia" w:ascii="宋体" w:hAnsi="宋体" w:eastAsia="宋体" w:cs="宋体"/>
      <w:color w:val="000000"/>
      <w:sz w:val="24"/>
      <w:szCs w:val="24"/>
      <w:u w:val="none"/>
      <w:vertAlign w:val="superscript"/>
    </w:rPr>
  </w:style>
  <w:style w:type="character" w:customStyle="1" w:styleId="28">
    <w:name w:val="font21"/>
    <w:basedOn w:val="16"/>
    <w:uiPriority w:val="0"/>
    <w:rPr>
      <w:rFonts w:hint="eastAsia" w:ascii="宋体" w:hAnsi="宋体" w:eastAsia="宋体" w:cs="宋体"/>
      <w:color w:val="000000"/>
      <w:sz w:val="24"/>
      <w:szCs w:val="24"/>
      <w:u w:val="none"/>
    </w:rPr>
  </w:style>
  <w:style w:type="character" w:customStyle="1" w:styleId="29">
    <w:name w:val="font41"/>
    <w:basedOn w:val="16"/>
    <w:uiPriority w:val="0"/>
    <w:rPr>
      <w:rFonts w:hint="eastAsia" w:ascii="宋体" w:hAnsi="宋体" w:eastAsia="宋体" w:cs="宋体"/>
      <w:i/>
      <w:iCs/>
      <w:color w:val="000000"/>
      <w:sz w:val="24"/>
      <w:szCs w:val="24"/>
      <w:u w:val="none"/>
    </w:rPr>
  </w:style>
  <w:style w:type="paragraph" w:customStyle="1" w:styleId="30">
    <w:name w:val="WPSOffice手动目录 1"/>
    <w:uiPriority w:val="0"/>
    <w:rPr>
      <w:rFonts w:ascii="Times New Roman" w:hAnsi="Times New Roman" w:eastAsia="宋体" w:cs="Times New Roman"/>
      <w:lang w:val="en-US" w:eastAsia="zh-CN" w:bidi="ar-SA"/>
    </w:rPr>
  </w:style>
  <w:style w:type="paragraph" w:customStyle="1" w:styleId="31">
    <w:name w:val="WPSOffice手动目录 2"/>
    <w:uiPriority w:val="0"/>
    <w:pPr>
      <w:ind w:left="200" w:leftChars="200"/>
    </w:pPr>
    <w:rPr>
      <w:rFonts w:ascii="Times New Roman" w:hAnsi="Times New Roman" w:eastAsia="宋体" w:cs="Times New Roman"/>
      <w:lang w:val="en-US" w:eastAsia="zh-CN" w:bidi="ar-SA"/>
    </w:rPr>
  </w:style>
  <w:style w:type="paragraph" w:customStyle="1" w:styleId="32">
    <w:name w:val="WPSOffice手动目录 3"/>
    <w:uiPriority w:val="0"/>
    <w:pPr>
      <w:ind w:left="400" w:leftChars="400"/>
    </w:pPr>
    <w:rPr>
      <w:rFonts w:ascii="Times New Roman" w:hAnsi="Times New Roman" w:eastAsia="宋体" w:cs="Times New Roman"/>
      <w:lang w:val="en-US" w:eastAsia="zh-CN" w:bidi="ar-SA"/>
    </w:rPr>
  </w:style>
  <w:style w:type="paragraph" w:customStyle="1" w:styleId="33">
    <w:name w:val="修订1"/>
    <w:hidden/>
    <w:semiHidden/>
    <w:uiPriority w:val="99"/>
    <w:rPr>
      <w:rFonts w:asciiTheme="minorHAnsi" w:hAnsiTheme="minorHAnsi" w:eastAsiaTheme="minorEastAsia" w:cstheme="minorBidi"/>
      <w:kern w:val="2"/>
      <w:sz w:val="21"/>
      <w:szCs w:val="24"/>
      <w:lang w:val="en-US" w:eastAsia="zh-CN" w:bidi="ar-SA"/>
    </w:rPr>
  </w:style>
  <w:style w:type="paragraph" w:styleId="34">
    <w:name w:val="List Paragraph"/>
    <w:basedOn w:val="1"/>
    <w:uiPriority w:val="99"/>
    <w:pPr>
      <w:ind w:firstLine="420" w:firstLineChars="200"/>
    </w:pPr>
  </w:style>
  <w:style w:type="character" w:customStyle="1" w:styleId="35">
    <w:name w:val="批注文字 字符"/>
    <w:basedOn w:val="16"/>
    <w:link w:val="7"/>
    <w:uiPriority w:val="0"/>
    <w:rPr>
      <w:rFonts w:asciiTheme="minorHAnsi" w:hAnsiTheme="minorHAnsi" w:eastAsiaTheme="minorEastAsia" w:cstheme="minorBidi"/>
      <w:kern w:val="2"/>
      <w:sz w:val="21"/>
      <w:szCs w:val="24"/>
    </w:rPr>
  </w:style>
  <w:style w:type="character" w:customStyle="1" w:styleId="36">
    <w:name w:val="批注主题 字符"/>
    <w:basedOn w:val="35"/>
    <w:link w:val="14"/>
    <w:uiPriority w:val="0"/>
    <w:rPr>
      <w:rFonts w:asciiTheme="minorHAnsi" w:hAnsiTheme="minorHAnsi" w:eastAsiaTheme="minorEastAsia" w:cstheme="minorBidi"/>
      <w:b/>
      <w:bCs/>
      <w:kern w:val="2"/>
      <w:sz w:val="21"/>
      <w:szCs w:val="24"/>
    </w:rPr>
  </w:style>
  <w:style w:type="paragraph" w:customStyle="1" w:styleId="37">
    <w:name w:val="Revision"/>
    <w:hidden/>
    <w:unhideWhenUsed/>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125</Pages>
  <Words>30731</Words>
  <Characters>175172</Characters>
  <Lines>1459</Lines>
  <Paragraphs>410</Paragraphs>
  <TotalTime>1</TotalTime>
  <ScaleCrop>false</ScaleCrop>
  <LinksUpToDate>false</LinksUpToDate>
  <CharactersWithSpaces>205493</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2025-09-17T06:12:00Z</dcterms:created>
  <dc:creator>郑子璐</dc:creator>
  <cp:lastModifiedBy>郑子璐</cp:lastModifiedBy>
  <dcterms:modified xsi:type="dcterms:W3CDTF">2025-09-23T22:57:01Z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BBA05AD94516C38C0F22D268213D2C67_43</vt:lpwstr>
  </property>
</Properties>
</file>